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9D709" w14:textId="56B986C9" w:rsidR="004A2136" w:rsidRPr="00B527D0" w:rsidRDefault="004A2136" w:rsidP="004A2136">
      <w:pPr>
        <w:pStyle w:val="3GPPHeader"/>
        <w:spacing w:after="60"/>
        <w:rPr>
          <w:rFonts w:cs="Arial"/>
          <w:sz w:val="32"/>
          <w:szCs w:val="32"/>
          <w:highlight w:val="yellow"/>
        </w:rPr>
      </w:pPr>
      <w:bookmarkStart w:id="0" w:name="_Ref190406817"/>
      <w:bookmarkStart w:id="1" w:name="_Toc226862296"/>
      <w:bookmarkStart w:id="2" w:name="_Toc347823621"/>
      <w:bookmarkStart w:id="3" w:name="_Toc347824073"/>
      <w:bookmarkStart w:id="4" w:name="_Toc347824246"/>
      <w:r w:rsidRPr="00B527D0">
        <w:rPr>
          <w:rFonts w:cs="Arial"/>
          <w:lang w:val="en-US"/>
        </w:rPr>
        <w:t>3GPP TSG-RAN WG1 Meeting #9</w:t>
      </w:r>
      <w:r w:rsidR="0079056E">
        <w:rPr>
          <w:rFonts w:cs="Arial"/>
          <w:lang w:val="en-US"/>
        </w:rPr>
        <w:t>1</w:t>
      </w:r>
      <w:r w:rsidRPr="00B527D0">
        <w:rPr>
          <w:rFonts w:cs="Arial"/>
        </w:rPr>
        <w:tab/>
      </w:r>
      <w:r w:rsidRPr="00B527D0">
        <w:rPr>
          <w:rFonts w:cs="Arial"/>
          <w:sz w:val="32"/>
          <w:szCs w:val="32"/>
        </w:rPr>
        <w:t>R</w:t>
      </w:r>
      <w:r w:rsidR="003D613B" w:rsidRPr="00B527D0">
        <w:rPr>
          <w:rFonts w:cs="Arial"/>
          <w:sz w:val="32"/>
          <w:szCs w:val="32"/>
        </w:rPr>
        <w:t>1-</w:t>
      </w:r>
      <w:r w:rsidR="00C21D9C" w:rsidRPr="00C21D9C">
        <w:rPr>
          <w:rFonts w:cs="Arial"/>
          <w:sz w:val="32"/>
          <w:szCs w:val="32"/>
        </w:rPr>
        <w:t>1720530</w:t>
      </w:r>
    </w:p>
    <w:p w14:paraId="57CB2E30" w14:textId="0803E78E" w:rsidR="004A2136" w:rsidRPr="00B527D0" w:rsidRDefault="0079056E" w:rsidP="004A2136">
      <w:pPr>
        <w:pStyle w:val="3GPPHeader"/>
        <w:rPr>
          <w:rFonts w:cs="Arial"/>
        </w:rPr>
      </w:pPr>
      <w:r>
        <w:rPr>
          <w:rFonts w:cs="Arial"/>
        </w:rPr>
        <w:t>Reno, Nevada, USA, 27</w:t>
      </w:r>
      <w:r w:rsidR="004A2136" w:rsidRPr="00B527D0">
        <w:rPr>
          <w:rFonts w:cs="Arial"/>
          <w:vertAlign w:val="superscript"/>
        </w:rPr>
        <w:t>th</w:t>
      </w:r>
      <w:r w:rsidR="004A2136" w:rsidRPr="00B527D0">
        <w:rPr>
          <w:rFonts w:cs="Arial"/>
        </w:rPr>
        <w:t xml:space="preserve"> </w:t>
      </w:r>
      <w:r w:rsidR="00983F9C">
        <w:rPr>
          <w:rFonts w:cs="Arial"/>
        </w:rPr>
        <w:t>November -</w:t>
      </w:r>
      <w:r>
        <w:rPr>
          <w:rFonts w:cs="Arial"/>
        </w:rPr>
        <w:t xml:space="preserve"> </w:t>
      </w:r>
      <w:r w:rsidR="00983F9C">
        <w:rPr>
          <w:rFonts w:cs="Arial"/>
        </w:rPr>
        <w:t>1</w:t>
      </w:r>
      <w:r w:rsidR="00983F9C" w:rsidRPr="0079056E">
        <w:rPr>
          <w:rFonts w:cs="Arial"/>
          <w:vertAlign w:val="superscript"/>
        </w:rPr>
        <w:t>st</w:t>
      </w:r>
      <w:r w:rsidR="00983F9C">
        <w:rPr>
          <w:rFonts w:cs="Arial"/>
        </w:rPr>
        <w:t xml:space="preserve"> </w:t>
      </w:r>
      <w:bookmarkEnd w:id="0"/>
      <w:bookmarkEnd w:id="1"/>
      <w:bookmarkEnd w:id="2"/>
      <w:bookmarkEnd w:id="3"/>
      <w:bookmarkEnd w:id="4"/>
      <w:r w:rsidR="00983F9C">
        <w:rPr>
          <w:rFonts w:cs="Arial"/>
        </w:rPr>
        <w:t>December 2017</w:t>
      </w:r>
    </w:p>
    <w:p w14:paraId="51A0976C" w14:textId="7B2C0C17" w:rsidR="00E90E49" w:rsidRPr="00B527D0" w:rsidRDefault="00E90E49" w:rsidP="00311702">
      <w:pPr>
        <w:pStyle w:val="3GPPHeader"/>
        <w:rPr>
          <w:rFonts w:cs="Arial"/>
          <w:sz w:val="22"/>
          <w:szCs w:val="22"/>
          <w:lang w:val="en-US"/>
        </w:rPr>
      </w:pPr>
      <w:r w:rsidRPr="00B527D0">
        <w:rPr>
          <w:rFonts w:cs="Arial"/>
          <w:sz w:val="22"/>
          <w:szCs w:val="22"/>
          <w:lang w:val="en-US"/>
        </w:rPr>
        <w:t>Agenda Item:</w:t>
      </w:r>
      <w:r w:rsidRPr="00B527D0">
        <w:rPr>
          <w:rFonts w:cs="Arial"/>
          <w:sz w:val="22"/>
          <w:szCs w:val="22"/>
          <w:lang w:val="en-US"/>
        </w:rPr>
        <w:tab/>
      </w:r>
      <w:r w:rsidR="003D613B" w:rsidRPr="00B527D0">
        <w:rPr>
          <w:rFonts w:cs="Arial"/>
          <w:sz w:val="22"/>
          <w:szCs w:val="22"/>
          <w:lang w:val="en-US"/>
        </w:rPr>
        <w:t>6</w:t>
      </w:r>
      <w:r w:rsidR="00254535" w:rsidRPr="00B527D0">
        <w:rPr>
          <w:rFonts w:cs="Arial"/>
          <w:sz w:val="22"/>
          <w:szCs w:val="22"/>
          <w:lang w:val="en-US"/>
        </w:rPr>
        <w:t>.2.</w:t>
      </w:r>
      <w:r w:rsidR="00C066BA" w:rsidRPr="00B527D0">
        <w:rPr>
          <w:rFonts w:cs="Arial"/>
          <w:sz w:val="22"/>
          <w:szCs w:val="22"/>
          <w:lang w:val="en-US"/>
        </w:rPr>
        <w:t>1</w:t>
      </w:r>
      <w:r w:rsidR="00254535" w:rsidRPr="00B527D0">
        <w:rPr>
          <w:rFonts w:cs="Arial"/>
          <w:sz w:val="22"/>
          <w:szCs w:val="22"/>
          <w:lang w:val="en-US"/>
        </w:rPr>
        <w:t>.2.</w:t>
      </w:r>
      <w:r w:rsidR="00433E5B">
        <w:rPr>
          <w:rFonts w:cs="Arial"/>
          <w:sz w:val="22"/>
          <w:szCs w:val="22"/>
          <w:lang w:val="en-US"/>
        </w:rPr>
        <w:t>7</w:t>
      </w:r>
    </w:p>
    <w:p w14:paraId="18DDFCBA" w14:textId="77777777" w:rsidR="00E90E49" w:rsidRPr="00B527D0" w:rsidRDefault="003D3C45" w:rsidP="00F64C2B">
      <w:pPr>
        <w:pStyle w:val="3GPPHeader"/>
        <w:rPr>
          <w:rFonts w:cs="Arial"/>
          <w:sz w:val="22"/>
          <w:szCs w:val="22"/>
        </w:rPr>
      </w:pPr>
      <w:r w:rsidRPr="00B527D0">
        <w:rPr>
          <w:rFonts w:cs="Arial"/>
          <w:sz w:val="22"/>
          <w:szCs w:val="22"/>
        </w:rPr>
        <w:t>Source:</w:t>
      </w:r>
      <w:r w:rsidR="00E90E49" w:rsidRPr="00B527D0">
        <w:rPr>
          <w:rFonts w:cs="Arial"/>
          <w:sz w:val="22"/>
          <w:szCs w:val="22"/>
        </w:rPr>
        <w:tab/>
      </w:r>
      <w:r w:rsidR="00F64C2B" w:rsidRPr="00B527D0">
        <w:rPr>
          <w:rFonts w:cs="Arial"/>
          <w:sz w:val="22"/>
          <w:szCs w:val="22"/>
        </w:rPr>
        <w:t>Ericsson</w:t>
      </w:r>
    </w:p>
    <w:p w14:paraId="17353407" w14:textId="04C315CE" w:rsidR="00E90E49" w:rsidRPr="00B527D0" w:rsidRDefault="003D3C45" w:rsidP="00311702">
      <w:pPr>
        <w:pStyle w:val="3GPPHeader"/>
        <w:rPr>
          <w:rFonts w:cs="Arial"/>
          <w:sz w:val="22"/>
          <w:szCs w:val="22"/>
        </w:rPr>
      </w:pPr>
      <w:r w:rsidRPr="00B527D0">
        <w:rPr>
          <w:rFonts w:cs="Arial"/>
          <w:sz w:val="22"/>
          <w:szCs w:val="22"/>
        </w:rPr>
        <w:t>Title:</w:t>
      </w:r>
      <w:r w:rsidR="00E90E49" w:rsidRPr="00B527D0">
        <w:rPr>
          <w:rFonts w:cs="Arial"/>
          <w:sz w:val="22"/>
          <w:szCs w:val="22"/>
        </w:rPr>
        <w:tab/>
      </w:r>
      <w:r w:rsidR="00A01783" w:rsidRPr="00B527D0">
        <w:rPr>
          <w:rFonts w:cs="Arial"/>
          <w:sz w:val="22"/>
          <w:szCs w:val="22"/>
        </w:rPr>
        <w:t xml:space="preserve">On </w:t>
      </w:r>
      <w:r w:rsidR="005E6DDF" w:rsidRPr="00B527D0">
        <w:rPr>
          <w:rFonts w:cs="Arial"/>
          <w:sz w:val="22"/>
          <w:szCs w:val="22"/>
        </w:rPr>
        <w:t xml:space="preserve">CSI reporting for </w:t>
      </w:r>
      <w:r w:rsidR="005125E6">
        <w:rPr>
          <w:rFonts w:cs="Arial"/>
          <w:sz w:val="22"/>
          <w:szCs w:val="22"/>
        </w:rPr>
        <w:t>sTTI</w:t>
      </w:r>
    </w:p>
    <w:p w14:paraId="6F19BCD1" w14:textId="77777777" w:rsidR="00E90E49" w:rsidRPr="00B527D0" w:rsidRDefault="00E90E49" w:rsidP="00D546FF">
      <w:pPr>
        <w:pStyle w:val="3GPPHeader"/>
        <w:rPr>
          <w:rFonts w:cs="Arial"/>
          <w:sz w:val="22"/>
          <w:szCs w:val="22"/>
        </w:rPr>
      </w:pPr>
      <w:r w:rsidRPr="00B527D0">
        <w:rPr>
          <w:rFonts w:cs="Arial"/>
          <w:sz w:val="22"/>
          <w:szCs w:val="22"/>
        </w:rPr>
        <w:t>Document for:</w:t>
      </w:r>
      <w:r w:rsidRPr="00B527D0">
        <w:rPr>
          <w:rFonts w:cs="Arial"/>
          <w:sz w:val="22"/>
          <w:szCs w:val="22"/>
        </w:rPr>
        <w:tab/>
        <w:t>Discussion, Decision</w:t>
      </w:r>
    </w:p>
    <w:p w14:paraId="0CD3EFB0" w14:textId="77777777" w:rsidR="00E90E49" w:rsidRPr="00B527D0" w:rsidRDefault="00B86558" w:rsidP="00546F58">
      <w:pPr>
        <w:pStyle w:val="Heading1"/>
      </w:pPr>
      <w:r w:rsidRPr="00B527D0">
        <w:t>Introduction</w:t>
      </w:r>
    </w:p>
    <w:p w14:paraId="2EBB085B" w14:textId="4055116F" w:rsidR="00C45349" w:rsidRDefault="00B86558" w:rsidP="00DA6FD1">
      <w:pPr>
        <w:pStyle w:val="BodyText"/>
        <w:rPr>
          <w:rFonts w:cs="Arial"/>
        </w:rPr>
      </w:pPr>
      <w:r w:rsidRPr="00B527D0">
        <w:rPr>
          <w:rFonts w:cs="Arial"/>
        </w:rPr>
        <w:t xml:space="preserve">In RAN#72 the new WI on short TTI and reduced processing </w:t>
      </w:r>
      <w:r w:rsidRPr="00B527D0">
        <w:rPr>
          <w:rFonts w:cs="Arial"/>
        </w:rPr>
        <w:fldChar w:fldCharType="begin"/>
      </w:r>
      <w:r w:rsidRPr="00B527D0">
        <w:rPr>
          <w:rFonts w:cs="Arial"/>
        </w:rPr>
        <w:instrText xml:space="preserve"> REF _Ref453835673 \r \h </w:instrText>
      </w:r>
      <w:r w:rsidR="00B527D0">
        <w:rPr>
          <w:rFonts w:cs="Arial"/>
        </w:rPr>
        <w:instrText xml:space="preserve"> \* MERGEFORMAT </w:instrText>
      </w:r>
      <w:r w:rsidRPr="00B527D0">
        <w:rPr>
          <w:rFonts w:cs="Arial"/>
        </w:rPr>
      </w:r>
      <w:r w:rsidRPr="00B527D0">
        <w:rPr>
          <w:rFonts w:cs="Arial"/>
        </w:rPr>
        <w:fldChar w:fldCharType="separate"/>
      </w:r>
      <w:r w:rsidR="00D61808">
        <w:rPr>
          <w:rFonts w:cs="Arial"/>
        </w:rPr>
        <w:t>[1]</w:t>
      </w:r>
      <w:r w:rsidRPr="00B527D0">
        <w:rPr>
          <w:rFonts w:cs="Arial"/>
        </w:rPr>
        <w:fldChar w:fldCharType="end"/>
      </w:r>
      <w:r w:rsidRPr="00B527D0">
        <w:rPr>
          <w:rFonts w:cs="Arial"/>
        </w:rPr>
        <w:t xml:space="preserve"> was agreed. </w:t>
      </w:r>
      <w:r w:rsidR="00FA168F" w:rsidRPr="00B527D0">
        <w:rPr>
          <w:rFonts w:cs="Arial"/>
        </w:rPr>
        <w:t xml:space="preserve">During the WI, the topic of CSI has been discussed in terms of processing time, reporting delay and </w:t>
      </w:r>
      <w:r w:rsidR="00EC7358" w:rsidRPr="00B527D0">
        <w:rPr>
          <w:rFonts w:cs="Arial"/>
        </w:rPr>
        <w:t>UCI</w:t>
      </w:r>
      <w:r w:rsidR="00FA168F" w:rsidRPr="00B527D0">
        <w:rPr>
          <w:rFonts w:cs="Arial"/>
        </w:rPr>
        <w:t xml:space="preserve"> design for sPUCCH [2-10].  </w:t>
      </w:r>
      <w:r w:rsidR="00C45349">
        <w:rPr>
          <w:rFonts w:cs="Arial"/>
        </w:rPr>
        <w:t>Since RAN1#90bis, the following agreements were made related to CSI reporting for sTTI.</w:t>
      </w:r>
    </w:p>
    <w:tbl>
      <w:tblPr>
        <w:tblStyle w:val="TableGrid"/>
        <w:tblW w:w="0" w:type="auto"/>
        <w:tblLook w:val="04A0" w:firstRow="1" w:lastRow="0" w:firstColumn="1" w:lastColumn="0" w:noHBand="0" w:noVBand="1"/>
      </w:tblPr>
      <w:tblGrid>
        <w:gridCol w:w="9629"/>
      </w:tblGrid>
      <w:tr w:rsidR="000854BF" w14:paraId="149ACDD2" w14:textId="77777777" w:rsidTr="000854BF">
        <w:tc>
          <w:tcPr>
            <w:tcW w:w="9629" w:type="dxa"/>
          </w:tcPr>
          <w:p w14:paraId="5F17481B"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bCs/>
                <w:highlight w:val="green"/>
                <w:lang w:val="en-US"/>
              </w:rPr>
              <w:t>Agreements:</w:t>
            </w:r>
          </w:p>
          <w:p w14:paraId="1B360E2D"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lang w:eastAsia="en-US"/>
              </w:rPr>
              <w:t>For A-CSI triggered by sDCI, the reporting timeline is the same as the sPUSCH scheduling timeline</w:t>
            </w:r>
          </w:p>
          <w:p w14:paraId="03CA8A13"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bCs/>
                <w:highlight w:val="green"/>
                <w:lang w:val="en-US"/>
              </w:rPr>
              <w:t>Agreements</w:t>
            </w:r>
            <w:r w:rsidRPr="00C45349">
              <w:rPr>
                <w:rFonts w:ascii="Times New Roman" w:hAnsi="Times New Roman"/>
                <w:bCs/>
                <w:lang w:val="en-US"/>
              </w:rPr>
              <w:t>:</w:t>
            </w:r>
          </w:p>
          <w:p w14:paraId="0C1FB773"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lang w:eastAsia="en-US"/>
              </w:rPr>
              <w:t>A zero power/non-zero power CSI-RS configuration with an increased periodicity as compared to the legacy LTE is not supported/introduced</w:t>
            </w:r>
          </w:p>
          <w:p w14:paraId="37CD6143"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bCs/>
                <w:highlight w:val="green"/>
                <w:lang w:val="en-US"/>
              </w:rPr>
              <w:t>Agreements</w:t>
            </w:r>
            <w:r w:rsidRPr="00C45349">
              <w:rPr>
                <w:rFonts w:ascii="Times New Roman" w:hAnsi="Times New Roman"/>
                <w:bCs/>
                <w:lang w:val="en-US"/>
              </w:rPr>
              <w:t>:</w:t>
            </w:r>
          </w:p>
          <w:p w14:paraId="5D1920CE" w14:textId="77777777" w:rsidR="000854BF" w:rsidRPr="00C45349" w:rsidRDefault="000854BF" w:rsidP="000854BF">
            <w:pPr>
              <w:overflowPunct/>
              <w:autoSpaceDE/>
              <w:autoSpaceDN/>
              <w:adjustRightInd/>
              <w:spacing w:after="160" w:line="252" w:lineRule="auto"/>
              <w:jc w:val="left"/>
              <w:textAlignment w:val="auto"/>
              <w:rPr>
                <w:rFonts w:ascii="Times New Roman" w:hAnsi="Times New Roman"/>
                <w:lang w:val="en-US" w:eastAsia="sv-SE"/>
              </w:rPr>
            </w:pPr>
            <w:r w:rsidRPr="00C45349">
              <w:rPr>
                <w:rFonts w:ascii="Times New Roman" w:hAnsi="Times New Roman"/>
                <w:lang w:eastAsia="en-US"/>
              </w:rPr>
              <w:t>For the sTTI based aperiodic CSI reporting, the subband sizes are increased at least for 2/3os sTTI as compared to those of the legacy LTE.</w:t>
            </w:r>
          </w:p>
          <w:p w14:paraId="280C5408" w14:textId="77777777" w:rsidR="000854BF" w:rsidRPr="00C45349" w:rsidRDefault="000854BF" w:rsidP="000854BF">
            <w:pPr>
              <w:overflowPunct/>
              <w:autoSpaceDE/>
              <w:autoSpaceDN/>
              <w:adjustRightInd/>
              <w:spacing w:after="0"/>
              <w:jc w:val="left"/>
              <w:textAlignment w:val="auto"/>
              <w:rPr>
                <w:rFonts w:ascii="Times New Roman" w:hAnsi="Times New Roman"/>
                <w:bCs/>
                <w:lang w:val="en-US"/>
              </w:rPr>
            </w:pPr>
            <w:r w:rsidRPr="00C45349">
              <w:rPr>
                <w:rFonts w:ascii="Times New Roman" w:hAnsi="Times New Roman"/>
                <w:lang w:eastAsia="en-US"/>
              </w:rPr>
              <w:t>- The subband size is FFS</w:t>
            </w:r>
          </w:p>
          <w:p w14:paraId="7C007E89" w14:textId="77777777" w:rsidR="000854BF" w:rsidRPr="00C45349" w:rsidRDefault="000854BF" w:rsidP="000854BF">
            <w:pPr>
              <w:overflowPunct/>
              <w:autoSpaceDE/>
              <w:autoSpaceDN/>
              <w:adjustRightInd/>
              <w:spacing w:after="0"/>
              <w:jc w:val="left"/>
              <w:textAlignment w:val="auto"/>
              <w:rPr>
                <w:rFonts w:ascii="Times New Roman" w:hAnsi="Times New Roman"/>
                <w:lang w:val="en-US" w:eastAsia="sv-SE"/>
              </w:rPr>
            </w:pPr>
            <w:r w:rsidRPr="00C45349">
              <w:rPr>
                <w:rFonts w:ascii="Times New Roman" w:hAnsi="Times New Roman"/>
                <w:highlight w:val="green"/>
                <w:lang w:val="en-US" w:eastAsia="en-US"/>
              </w:rPr>
              <w:t>Agreements:</w:t>
            </w:r>
          </w:p>
          <w:p w14:paraId="3A03407C" w14:textId="77777777" w:rsidR="000854BF" w:rsidRPr="00C45349" w:rsidRDefault="000854BF" w:rsidP="000854BF">
            <w:pPr>
              <w:numPr>
                <w:ilvl w:val="0"/>
                <w:numId w:val="33"/>
              </w:numPr>
              <w:overflowPunct/>
              <w:autoSpaceDE/>
              <w:autoSpaceDN/>
              <w:adjustRightInd/>
              <w:spacing w:after="0"/>
              <w:jc w:val="left"/>
              <w:textAlignment w:val="auto"/>
              <w:rPr>
                <w:rFonts w:ascii="Times New Roman" w:hAnsi="Times New Roman"/>
                <w:lang w:val="en-US" w:eastAsia="x-none"/>
              </w:rPr>
            </w:pPr>
            <w:r w:rsidRPr="00C45349">
              <w:rPr>
                <w:rFonts w:ascii="Times New Roman" w:hAnsi="Times New Roman"/>
                <w:lang w:val="en-US" w:eastAsia="x-none"/>
              </w:rPr>
              <w:t>Only aperiodic CSI reporting is intended to be supported for the sTTI operation in Rel-15 WI with up to 3-bit trigger.</w:t>
            </w:r>
            <w:r w:rsidRPr="00C45349">
              <w:rPr>
                <w:rFonts w:ascii="Times New Roman" w:hAnsi="Times New Roman"/>
                <w:lang w:val="en-US" w:eastAsia="en-US"/>
              </w:rPr>
              <w:t xml:space="preserve"> </w:t>
            </w:r>
          </w:p>
          <w:p w14:paraId="3F5E02B6" w14:textId="0CCE6399" w:rsidR="000854BF" w:rsidRPr="000854BF" w:rsidRDefault="000854BF" w:rsidP="00192F4B">
            <w:pPr>
              <w:numPr>
                <w:ilvl w:val="1"/>
                <w:numId w:val="33"/>
              </w:numPr>
              <w:overflowPunct/>
              <w:autoSpaceDE/>
              <w:autoSpaceDN/>
              <w:adjustRightInd/>
              <w:spacing w:after="0"/>
              <w:jc w:val="left"/>
              <w:textAlignment w:val="auto"/>
              <w:rPr>
                <w:rFonts w:ascii="Times New Roman" w:hAnsi="Times New Roman"/>
                <w:bCs/>
                <w:highlight w:val="green"/>
                <w:lang w:val="en-US"/>
              </w:rPr>
            </w:pPr>
            <w:r w:rsidRPr="00C45349">
              <w:rPr>
                <w:rFonts w:ascii="Times New Roman" w:hAnsi="Times New Roman"/>
                <w:lang w:val="en-US" w:eastAsia="x-none"/>
              </w:rPr>
              <w:t>FFS: Restrictions</w:t>
            </w:r>
          </w:p>
        </w:tc>
      </w:tr>
    </w:tbl>
    <w:p w14:paraId="2173024D" w14:textId="73373765" w:rsidR="00793D31" w:rsidRDefault="000854BF" w:rsidP="00B62EBF">
      <w:r>
        <w:t>A</w:t>
      </w:r>
      <w:r w:rsidR="00EB3C85">
        <w:t xml:space="preserve">dditionally, </w:t>
      </w:r>
      <w:r w:rsidR="00B62EBF">
        <w:t xml:space="preserve">the following items </w:t>
      </w:r>
      <w:r w:rsidR="00EB3C85">
        <w:t xml:space="preserve">were </w:t>
      </w:r>
      <w:r w:rsidR="00B62EBF">
        <w:t xml:space="preserve">marked for further studies in RAN1#90b. </w:t>
      </w:r>
    </w:p>
    <w:p w14:paraId="6352F71D" w14:textId="77777777" w:rsidR="00B62EBF" w:rsidRPr="00B62EBF" w:rsidRDefault="00B62EBF" w:rsidP="00B62EBF">
      <w:pPr>
        <w:rPr>
          <w:u w:val="single"/>
        </w:rPr>
      </w:pPr>
      <w:r w:rsidRPr="00B62EBF">
        <w:rPr>
          <w:u w:val="single"/>
        </w:rPr>
        <w:t xml:space="preserve">Proposed offline consensus: </w:t>
      </w:r>
    </w:p>
    <w:p w14:paraId="04C39C5A" w14:textId="5EDE272E" w:rsidR="00B62EBF" w:rsidRPr="00192F4B" w:rsidRDefault="00B62EBF" w:rsidP="00192F4B">
      <w:pPr>
        <w:rPr>
          <w:rFonts w:cs="Arial"/>
          <w:lang w:eastAsia="x-none"/>
        </w:rPr>
      </w:pPr>
      <w:r w:rsidRPr="00192F4B">
        <w:rPr>
          <w:rFonts w:cs="Arial"/>
          <w:lang w:eastAsia="x-none"/>
        </w:rPr>
        <w:t xml:space="preserve">Under the 2-symbol </w:t>
      </w:r>
      <w:r w:rsidR="005125E6" w:rsidRPr="00192F4B">
        <w:rPr>
          <w:rFonts w:cs="Arial"/>
          <w:lang w:eastAsia="x-none"/>
        </w:rPr>
        <w:t>sTTI</w:t>
      </w:r>
      <w:r w:rsidRPr="00192F4B">
        <w:rPr>
          <w:rFonts w:cs="Arial"/>
          <w:lang w:eastAsia="x-none"/>
        </w:rPr>
        <w:t xml:space="preserve"> operation, the </w:t>
      </w:r>
      <w:r w:rsidR="005125E6" w:rsidRPr="00192F4B">
        <w:rPr>
          <w:rFonts w:cs="Arial"/>
          <w:lang w:eastAsia="x-none"/>
        </w:rPr>
        <w:t>sTTI</w:t>
      </w:r>
      <w:r w:rsidRPr="00192F4B">
        <w:rPr>
          <w:rFonts w:cs="Arial"/>
          <w:lang w:eastAsia="x-none"/>
        </w:rPr>
        <w:t xml:space="preserve"> reference resource is defined based on the CSI reporting timing, and can be a 2-symbol or a 3-symbol </w:t>
      </w:r>
      <w:r w:rsidR="005125E6" w:rsidRPr="00192F4B">
        <w:rPr>
          <w:rFonts w:cs="Arial"/>
          <w:lang w:eastAsia="x-none"/>
        </w:rPr>
        <w:t>sTTI</w:t>
      </w:r>
      <w:r w:rsidRPr="00192F4B">
        <w:rPr>
          <w:rFonts w:cs="Arial"/>
          <w:lang w:eastAsia="x-none"/>
        </w:rPr>
        <w:t xml:space="preserve">. If based on the timing, a 3-symbol </w:t>
      </w:r>
      <w:r w:rsidR="005125E6" w:rsidRPr="00192F4B">
        <w:rPr>
          <w:rFonts w:cs="Arial"/>
          <w:lang w:eastAsia="x-none"/>
        </w:rPr>
        <w:t>sTTI</w:t>
      </w:r>
      <w:r w:rsidRPr="00192F4B">
        <w:rPr>
          <w:rFonts w:cs="Arial"/>
          <w:lang w:eastAsia="x-none"/>
        </w:rPr>
        <w:t xml:space="preserve"> is a reference resource, for CSI computation, TBS scaling shall be performed.</w:t>
      </w:r>
    </w:p>
    <w:p w14:paraId="5F51D0B5" w14:textId="77777777" w:rsidR="00B62EBF" w:rsidRPr="00B62EBF" w:rsidRDefault="00B62EBF" w:rsidP="00B62EBF">
      <w:pPr>
        <w:pStyle w:val="ListParagraph"/>
        <w:numPr>
          <w:ilvl w:val="1"/>
          <w:numId w:val="28"/>
        </w:numPr>
        <w:rPr>
          <w:rFonts w:cs="Arial"/>
          <w:lang w:eastAsia="x-none"/>
        </w:rPr>
      </w:pPr>
      <w:r w:rsidRPr="00B62EBF">
        <w:rPr>
          <w:rFonts w:cs="Arial"/>
          <w:lang w:eastAsia="x-none"/>
        </w:rPr>
        <w:t>- FFS on the details of the TBS scaling.</w:t>
      </w:r>
    </w:p>
    <w:p w14:paraId="4EC5F6FE" w14:textId="19818B32" w:rsidR="00B62EBF" w:rsidRPr="00B62EBF" w:rsidRDefault="00B62EBF" w:rsidP="00B62EBF">
      <w:pPr>
        <w:rPr>
          <w:u w:val="single"/>
        </w:rPr>
      </w:pPr>
      <w:r w:rsidRPr="00B62EBF">
        <w:rPr>
          <w:u w:val="single"/>
        </w:rPr>
        <w:t>Proposals</w:t>
      </w:r>
      <w:r>
        <w:rPr>
          <w:u w:val="single"/>
        </w:rPr>
        <w:t>:</w:t>
      </w:r>
    </w:p>
    <w:p w14:paraId="001A5864" w14:textId="335CEDE7" w:rsidR="00B62EBF" w:rsidRPr="00192F4B" w:rsidRDefault="00B62EBF" w:rsidP="00D61808">
      <w:pPr>
        <w:rPr>
          <w:rFonts w:cs="Arial"/>
          <w:lang w:eastAsia="x-none"/>
        </w:rPr>
      </w:pPr>
      <w:r w:rsidRPr="00192F4B">
        <w:rPr>
          <w:rFonts w:cs="Arial"/>
          <w:lang w:eastAsia="x-none"/>
        </w:rPr>
        <w:t>Proposal 8: The UE shall assume the CRS overhead over the reference resource in one of the following ways:</w:t>
      </w:r>
    </w:p>
    <w:p w14:paraId="0DBDB5F8" w14:textId="2BCC4D1E" w:rsidR="00B62EBF" w:rsidRPr="00B62EBF" w:rsidRDefault="00B62EBF" w:rsidP="00B62EBF">
      <w:pPr>
        <w:ind w:firstLine="567"/>
        <w:rPr>
          <w:rFonts w:cs="Arial"/>
          <w:lang w:eastAsia="x-none"/>
        </w:rPr>
      </w:pPr>
      <w:r w:rsidRPr="00B62EBF">
        <w:rPr>
          <w:rFonts w:cs="Arial"/>
          <w:lang w:eastAsia="x-none"/>
        </w:rPr>
        <w:t>-</w:t>
      </w:r>
      <w:r w:rsidR="00EB3C85">
        <w:rPr>
          <w:rFonts w:cs="Arial"/>
          <w:lang w:eastAsia="x-none"/>
        </w:rPr>
        <w:t xml:space="preserve"> </w:t>
      </w:r>
      <w:r w:rsidRPr="00B62EBF">
        <w:rPr>
          <w:rFonts w:cs="Arial"/>
          <w:lang w:eastAsia="x-none"/>
        </w:rPr>
        <w:t>The CRS overhead is dependent on the presence of the CRS in the reference resource.</w:t>
      </w:r>
    </w:p>
    <w:p w14:paraId="41FAA311" w14:textId="77777777" w:rsidR="00B62EBF" w:rsidRPr="00B62EBF" w:rsidRDefault="00B62EBF" w:rsidP="00B62EBF">
      <w:pPr>
        <w:ind w:firstLine="567"/>
        <w:rPr>
          <w:rFonts w:cs="Arial"/>
          <w:lang w:eastAsia="x-none"/>
        </w:rPr>
      </w:pPr>
      <w:r w:rsidRPr="00B62EBF">
        <w:rPr>
          <w:rFonts w:cs="Arial"/>
          <w:lang w:eastAsia="x-none"/>
        </w:rPr>
        <w:t>- A fixed CRS overhead shall be assumed over all reference resources.</w:t>
      </w:r>
    </w:p>
    <w:p w14:paraId="0D1B00ED" w14:textId="57B73F27" w:rsidR="00B62EBF" w:rsidRPr="00B62EBF" w:rsidRDefault="00B62EBF" w:rsidP="000854BF">
      <w:pPr>
        <w:ind w:firstLine="567"/>
        <w:rPr>
          <w:rFonts w:cs="Arial"/>
          <w:lang w:eastAsia="x-none"/>
        </w:rPr>
      </w:pPr>
      <w:r w:rsidRPr="00B62EBF">
        <w:rPr>
          <w:rFonts w:cs="Arial"/>
          <w:lang w:eastAsia="x-none"/>
        </w:rPr>
        <w:t xml:space="preserve">   - FFS on how to define a fixed CRS overhead.</w:t>
      </w:r>
      <w:r>
        <w:rPr>
          <w:rFonts w:cs="Arial"/>
          <w:lang w:eastAsia="x-none"/>
        </w:rPr>
        <w:t xml:space="preserve"> </w:t>
      </w:r>
    </w:p>
    <w:p w14:paraId="47A568B2" w14:textId="7AD5D411" w:rsidR="00B62EBF" w:rsidRPr="00192F4B" w:rsidRDefault="00B62EBF" w:rsidP="00D61808">
      <w:pPr>
        <w:rPr>
          <w:rFonts w:cs="Arial"/>
          <w:lang w:eastAsia="x-none"/>
        </w:rPr>
      </w:pPr>
      <w:r w:rsidRPr="00192F4B">
        <w:rPr>
          <w:rFonts w:cs="Arial"/>
          <w:lang w:eastAsia="x-none"/>
        </w:rPr>
        <w:t xml:space="preserve">Proposal 21: If a UE is configured with TM10 and multiple CSI processes for a serving cell,  the definition of the </w:t>
      </w:r>
      <w:r w:rsidR="005125E6" w:rsidRPr="00192F4B">
        <w:rPr>
          <w:rFonts w:cs="Arial"/>
          <w:lang w:eastAsia="x-none"/>
        </w:rPr>
        <w:t>sTTI</w:t>
      </w:r>
      <w:r w:rsidRPr="00192F4B">
        <w:rPr>
          <w:rFonts w:cs="Arial"/>
          <w:lang w:eastAsia="x-none"/>
        </w:rPr>
        <w:t xml:space="preserve"> reference resource is FFS.</w:t>
      </w:r>
    </w:p>
    <w:p w14:paraId="76C17D62" w14:textId="2BFEB168" w:rsidR="00B62EBF" w:rsidRPr="00192F4B" w:rsidRDefault="00B62EBF">
      <w:pPr>
        <w:rPr>
          <w:rFonts w:cs="Arial"/>
          <w:lang w:eastAsia="x-none"/>
        </w:rPr>
      </w:pPr>
      <w:r w:rsidRPr="00192F4B">
        <w:rPr>
          <w:rFonts w:cs="Arial"/>
          <w:lang w:eastAsia="x-none"/>
        </w:rPr>
        <w:t xml:space="preserve">Proposal 22: Select between two alternatives at RAN1#90bis                          </w:t>
      </w:r>
    </w:p>
    <w:p w14:paraId="77F41F9F" w14:textId="7AF5DBB0" w:rsidR="00B62EBF" w:rsidRPr="00B62EBF" w:rsidRDefault="000854BF" w:rsidP="00192F4B">
      <w:pPr>
        <w:rPr>
          <w:rFonts w:cs="Arial"/>
          <w:lang w:eastAsia="x-none"/>
        </w:rPr>
      </w:pPr>
      <w:r>
        <w:rPr>
          <w:rFonts w:cs="Arial"/>
          <w:lang w:eastAsia="x-none"/>
        </w:rPr>
        <w:t xml:space="preserve">  </w:t>
      </w:r>
      <w:r w:rsidR="00B62EBF" w:rsidRPr="00B62EBF">
        <w:rPr>
          <w:rFonts w:cs="Arial"/>
          <w:lang w:eastAsia="x-none"/>
        </w:rPr>
        <w:t xml:space="preserve">- Alternative 1: For the </w:t>
      </w:r>
      <w:r w:rsidR="005125E6">
        <w:rPr>
          <w:rFonts w:cs="Arial"/>
          <w:lang w:eastAsia="x-none"/>
        </w:rPr>
        <w:t>sTTI</w:t>
      </w:r>
      <w:r w:rsidR="00B62EBF" w:rsidRPr="00B62EBF">
        <w:rPr>
          <w:rFonts w:cs="Arial"/>
          <w:lang w:eastAsia="x-none"/>
        </w:rPr>
        <w:t xml:space="preserve"> operation, all the aperiodic legacy CSI reporting modes are supported. </w:t>
      </w:r>
    </w:p>
    <w:p w14:paraId="6B6DFCE3" w14:textId="64E8AE62" w:rsidR="00B62EBF" w:rsidRPr="00B62EBF" w:rsidRDefault="00B62EBF" w:rsidP="00192F4B">
      <w:pPr>
        <w:rPr>
          <w:rFonts w:cs="Arial"/>
          <w:lang w:eastAsia="x-none"/>
        </w:rPr>
      </w:pPr>
      <w:r w:rsidRPr="00B62EBF">
        <w:rPr>
          <w:rFonts w:cs="Arial"/>
          <w:lang w:eastAsia="x-none"/>
        </w:rPr>
        <w:t xml:space="preserve">  - FFS on reporting restrictions.</w:t>
      </w:r>
    </w:p>
    <w:p w14:paraId="758B807B" w14:textId="53BB7009" w:rsidR="00B62EBF" w:rsidRPr="00B62EBF" w:rsidRDefault="000854BF" w:rsidP="00192F4B">
      <w:pPr>
        <w:rPr>
          <w:rFonts w:cs="Arial"/>
          <w:lang w:eastAsia="x-none"/>
        </w:rPr>
      </w:pPr>
      <w:r>
        <w:rPr>
          <w:rFonts w:cs="Arial"/>
          <w:lang w:eastAsia="x-none"/>
        </w:rPr>
        <w:t xml:space="preserve">  </w:t>
      </w:r>
      <w:r w:rsidR="00B62EBF" w:rsidRPr="00B62EBF">
        <w:rPr>
          <w:rFonts w:cs="Arial"/>
          <w:lang w:eastAsia="x-none"/>
        </w:rPr>
        <w:t xml:space="preserve">- Alternative 2: For the </w:t>
      </w:r>
      <w:r w:rsidR="005125E6">
        <w:rPr>
          <w:rFonts w:cs="Arial"/>
          <w:lang w:eastAsia="x-none"/>
        </w:rPr>
        <w:t>sTTI</w:t>
      </w:r>
      <w:r w:rsidR="00B62EBF" w:rsidRPr="00B62EBF">
        <w:rPr>
          <w:rFonts w:cs="Arial"/>
          <w:lang w:eastAsia="x-none"/>
        </w:rPr>
        <w:t xml:space="preserve"> operation, </w:t>
      </w:r>
      <w:r w:rsidR="00380C5F" w:rsidRPr="00B62EBF">
        <w:rPr>
          <w:rFonts w:cs="Arial"/>
          <w:lang w:eastAsia="x-none"/>
        </w:rPr>
        <w:t>the aperiodic</w:t>
      </w:r>
      <w:r w:rsidR="00B62EBF" w:rsidRPr="00B62EBF">
        <w:rPr>
          <w:rFonts w:cs="Arial"/>
          <w:lang w:eastAsia="x-none"/>
        </w:rPr>
        <w:t xml:space="preserve"> CSI reporting modes 1-2, 2-2 and 3-2 are not supported. </w:t>
      </w:r>
    </w:p>
    <w:p w14:paraId="03CCDDCE" w14:textId="4D76CA01" w:rsidR="00B62EBF" w:rsidRPr="00B62EBF" w:rsidRDefault="000854BF" w:rsidP="00192F4B">
      <w:pPr>
        <w:rPr>
          <w:rFonts w:cs="Arial"/>
          <w:lang w:eastAsia="x-none"/>
        </w:rPr>
      </w:pPr>
      <w:r>
        <w:rPr>
          <w:rFonts w:cs="Arial"/>
          <w:lang w:eastAsia="x-none"/>
        </w:rPr>
        <w:t xml:space="preserve">  </w:t>
      </w:r>
      <w:r w:rsidR="00B62EBF" w:rsidRPr="00B62EBF">
        <w:rPr>
          <w:rFonts w:cs="Arial"/>
          <w:lang w:eastAsia="x-none"/>
        </w:rPr>
        <w:t>- FFS on further reduction of the aperiodic CSI reporting modes.</w:t>
      </w:r>
    </w:p>
    <w:p w14:paraId="2FAFC8DB" w14:textId="77777777" w:rsidR="000854BF" w:rsidRPr="00B527D0" w:rsidRDefault="00B62EBF" w:rsidP="000854BF">
      <w:pPr>
        <w:pStyle w:val="BodyText"/>
        <w:rPr>
          <w:rFonts w:cs="Arial"/>
        </w:rPr>
      </w:pPr>
      <w:r>
        <w:rPr>
          <w:rFonts w:cs="Arial"/>
          <w:lang w:eastAsia="x-none"/>
        </w:rPr>
        <w:t xml:space="preserve"> </w:t>
      </w:r>
      <w:r w:rsidR="000854BF" w:rsidRPr="00B527D0">
        <w:rPr>
          <w:rFonts w:cs="Arial"/>
        </w:rPr>
        <w:t xml:space="preserve">In this paper, we provide a discussion on the CSI reporting for </w:t>
      </w:r>
      <w:r w:rsidR="000854BF">
        <w:rPr>
          <w:rFonts w:cs="Arial"/>
        </w:rPr>
        <w:t>sTTI</w:t>
      </w:r>
      <w:r w:rsidR="000854BF" w:rsidRPr="00B527D0">
        <w:rPr>
          <w:rFonts w:cs="Arial"/>
        </w:rPr>
        <w:t>. This is a revision of R1-1712901.</w:t>
      </w:r>
    </w:p>
    <w:p w14:paraId="209E1ACF" w14:textId="773761F2" w:rsidR="007A4E16" w:rsidRPr="00B527D0" w:rsidRDefault="004000E8" w:rsidP="007C21B1">
      <w:pPr>
        <w:pStyle w:val="Heading1"/>
      </w:pPr>
      <w:bookmarkStart w:id="5" w:name="_Ref178064866"/>
      <w:r w:rsidRPr="00B527D0">
        <w:lastRenderedPageBreak/>
        <w:t>Discussion</w:t>
      </w:r>
      <w:bookmarkEnd w:id="5"/>
      <w:r w:rsidR="007C21B1" w:rsidRPr="00B527D0">
        <w:t xml:space="preserve"> </w:t>
      </w:r>
    </w:p>
    <w:p w14:paraId="6C774BDE" w14:textId="461153B3" w:rsidR="007C21B1" w:rsidRPr="00B527D0" w:rsidRDefault="007C21B1" w:rsidP="007C21B1">
      <w:pPr>
        <w:pStyle w:val="Heading2"/>
      </w:pPr>
      <w:r w:rsidRPr="00B527D0">
        <w:t xml:space="preserve">Legacy </w:t>
      </w:r>
      <w:r w:rsidR="005209BE" w:rsidRPr="00B527D0">
        <w:t xml:space="preserve">CSI </w:t>
      </w:r>
      <w:r w:rsidRPr="00B527D0">
        <w:t>Mechanisms</w:t>
      </w:r>
    </w:p>
    <w:p w14:paraId="37A6673B" w14:textId="77777777" w:rsidR="005209BE" w:rsidRPr="00B527D0" w:rsidRDefault="005209BE" w:rsidP="005209BE">
      <w:pPr>
        <w:pStyle w:val="Heading3"/>
      </w:pPr>
      <w:r w:rsidRPr="00B527D0">
        <w:t>CSI reporting for 1ms TTI</w:t>
      </w:r>
    </w:p>
    <w:p w14:paraId="05D30559" w14:textId="759646CB" w:rsidR="005209BE" w:rsidRPr="00B527D0" w:rsidRDefault="005209BE" w:rsidP="005209BE">
      <w:pPr>
        <w:rPr>
          <w:rFonts w:cs="Arial"/>
        </w:rPr>
      </w:pPr>
      <w:r w:rsidRPr="00B527D0">
        <w:rPr>
          <w:rFonts w:cs="Arial"/>
        </w:rPr>
        <w:t xml:space="preserve">CSI reporting consists of a different types of information subject to </w:t>
      </w:r>
      <w:r w:rsidR="00550FDE" w:rsidRPr="00B527D0">
        <w:rPr>
          <w:rFonts w:cs="Arial"/>
        </w:rPr>
        <w:t xml:space="preserve">the </w:t>
      </w:r>
      <w:r w:rsidRPr="00B527D0">
        <w:rPr>
          <w:rFonts w:cs="Arial"/>
        </w:rPr>
        <w:t xml:space="preserve">downlink transmission mode. In the </w:t>
      </w:r>
      <w:r w:rsidR="00550FDE" w:rsidRPr="00B527D0">
        <w:rPr>
          <w:rFonts w:cs="Arial"/>
        </w:rPr>
        <w:t>simplest</w:t>
      </w:r>
      <w:r w:rsidRPr="00B527D0">
        <w:rPr>
          <w:rFonts w:cs="Arial"/>
        </w:rPr>
        <w:t xml:space="preserve"> downlink configuration (modes 1,2,3,7), there is no need of spatial information feedback and </w:t>
      </w:r>
      <w:r w:rsidR="00550FDE" w:rsidRPr="00B527D0">
        <w:rPr>
          <w:rFonts w:cs="Arial"/>
        </w:rPr>
        <w:t>thus,</w:t>
      </w:r>
      <w:r w:rsidRPr="00B527D0">
        <w:rPr>
          <w:rFonts w:cs="Arial"/>
        </w:rPr>
        <w:t xml:space="preserve"> only CQI is transmitted. For MIMO transmissions (mode 4,5,8,9,10), CQI is complemented </w:t>
      </w:r>
      <w:r w:rsidR="000C2858" w:rsidRPr="00B527D0">
        <w:rPr>
          <w:rFonts w:cs="Arial"/>
        </w:rPr>
        <w:t>with PMI</w:t>
      </w:r>
      <w:r w:rsidRPr="00B527D0">
        <w:rPr>
          <w:rFonts w:cs="Arial"/>
        </w:rPr>
        <w:t>, RI and/or CRI depending of the MIMO configuration. The length of the report can be from 1 subframe PUCCH/PUSCH transmission to several subframe</w:t>
      </w:r>
      <w:r w:rsidR="00F81A6A">
        <w:rPr>
          <w:rFonts w:cs="Arial"/>
        </w:rPr>
        <w:t>s</w:t>
      </w:r>
      <w:r w:rsidRPr="00B527D0">
        <w:rPr>
          <w:rFonts w:cs="Arial"/>
        </w:rPr>
        <w:t xml:space="preserve"> for larger reports (e.g. TM10 reports for class B CSI takes 3 subframes). </w:t>
      </w:r>
    </w:p>
    <w:p w14:paraId="0B80E2AE" w14:textId="77777777" w:rsidR="00DA48EC" w:rsidRPr="00B527D0" w:rsidRDefault="005209BE" w:rsidP="005209BE">
      <w:pPr>
        <w:rPr>
          <w:rFonts w:cs="Arial"/>
        </w:rPr>
      </w:pPr>
      <w:r w:rsidRPr="00B527D0">
        <w:rPr>
          <w:rFonts w:cs="Arial"/>
        </w:rPr>
        <w:t>CSI can be reported periodically or in response to aperiodic triggers. Its periodicity is typically larger than a subframe (1ms)</w:t>
      </w:r>
      <w:r w:rsidR="005D54C3" w:rsidRPr="00B527D0">
        <w:rPr>
          <w:rFonts w:cs="Arial"/>
        </w:rPr>
        <w:t>, e.g. a typical value for the CSI periodicity in FD-MIMO is 5ms</w:t>
      </w:r>
      <w:r w:rsidRPr="00B527D0">
        <w:rPr>
          <w:rFonts w:cs="Arial"/>
        </w:rPr>
        <w:t>.</w:t>
      </w:r>
      <w:r w:rsidR="00DA48EC" w:rsidRPr="00B527D0">
        <w:rPr>
          <w:rFonts w:cs="Arial"/>
        </w:rPr>
        <w:t xml:space="preserve"> Even larger periodicities are seen when the UE is not having any traffic but its CSI is monitored. </w:t>
      </w:r>
    </w:p>
    <w:p w14:paraId="6A84DB4A" w14:textId="08828352" w:rsidR="005209BE" w:rsidRPr="00B527D0" w:rsidRDefault="005209BE" w:rsidP="005209BE">
      <w:pPr>
        <w:rPr>
          <w:rFonts w:cs="Arial"/>
        </w:rPr>
      </w:pPr>
      <w:r w:rsidRPr="00B527D0">
        <w:rPr>
          <w:rFonts w:cs="Arial"/>
        </w:rPr>
        <w:t>Aperiodic triggered transmission can be configured in between periodic transmission</w:t>
      </w:r>
      <w:r w:rsidR="00550FDE" w:rsidRPr="00B527D0">
        <w:rPr>
          <w:rFonts w:cs="Arial"/>
        </w:rPr>
        <w:t>s</w:t>
      </w:r>
      <w:r w:rsidRPr="00B527D0">
        <w:rPr>
          <w:rFonts w:cs="Arial"/>
        </w:rPr>
        <w:t>.</w:t>
      </w:r>
      <w:r w:rsidR="007C0D56" w:rsidRPr="00B527D0">
        <w:rPr>
          <w:rFonts w:cs="Arial"/>
        </w:rPr>
        <w:t xml:space="preserve"> Hence, the flexibility offered by the legacy CSI framework makes it suitable for </w:t>
      </w:r>
      <w:r w:rsidR="005125E6">
        <w:rPr>
          <w:rFonts w:cs="Arial"/>
        </w:rPr>
        <w:t>sTTI</w:t>
      </w:r>
      <w:r w:rsidR="007C0D56" w:rsidRPr="00B527D0">
        <w:rPr>
          <w:rFonts w:cs="Arial"/>
        </w:rPr>
        <w:t xml:space="preserve"> user. It remains to be investigated to what exten</w:t>
      </w:r>
      <w:r w:rsidR="005F27F5" w:rsidRPr="00B527D0">
        <w:rPr>
          <w:rFonts w:cs="Arial"/>
        </w:rPr>
        <w:t>t</w:t>
      </w:r>
      <w:r w:rsidR="007C0D56" w:rsidRPr="00B527D0">
        <w:rPr>
          <w:rFonts w:cs="Arial"/>
        </w:rPr>
        <w:t xml:space="preserve"> the framework can be used beneficially (i.e. some settings may not be suitable for a </w:t>
      </w:r>
      <w:r w:rsidR="005125E6">
        <w:rPr>
          <w:rFonts w:cs="Arial"/>
        </w:rPr>
        <w:t>sTTI</w:t>
      </w:r>
      <w:r w:rsidR="007C0D56" w:rsidRPr="00B527D0">
        <w:rPr>
          <w:rFonts w:cs="Arial"/>
        </w:rPr>
        <w:t xml:space="preserve"> user), however this is an implementation issue that does not have a standard impact. </w:t>
      </w:r>
    </w:p>
    <w:p w14:paraId="218D1EF0" w14:textId="7180C87F" w:rsidR="007C0D56" w:rsidRPr="00B527D0" w:rsidRDefault="007C0D56" w:rsidP="006F4F7F">
      <w:pPr>
        <w:pStyle w:val="Observation"/>
        <w:rPr>
          <w:rFonts w:cs="Arial"/>
        </w:rPr>
      </w:pPr>
      <w:bookmarkStart w:id="6" w:name="_Toc473286491"/>
      <w:bookmarkStart w:id="7" w:name="_Toc473290036"/>
      <w:bookmarkStart w:id="8" w:name="_Toc473290083"/>
      <w:bookmarkStart w:id="9" w:name="_Toc473290097"/>
      <w:bookmarkStart w:id="10" w:name="_Toc473293414"/>
      <w:bookmarkStart w:id="11" w:name="_Toc473646483"/>
      <w:bookmarkStart w:id="12" w:name="_Toc473705164"/>
      <w:bookmarkStart w:id="13" w:name="_Toc473900584"/>
      <w:bookmarkStart w:id="14" w:name="_Toc474168747"/>
      <w:bookmarkStart w:id="15" w:name="_Toc474169118"/>
      <w:bookmarkStart w:id="16" w:name="_Toc476834883"/>
      <w:bookmarkStart w:id="17" w:name="_Toc477781938"/>
      <w:bookmarkStart w:id="18" w:name="_Toc477781977"/>
      <w:bookmarkStart w:id="19" w:name="_Toc478144010"/>
      <w:bookmarkStart w:id="20" w:name="_Toc481752153"/>
      <w:bookmarkStart w:id="21" w:name="_Toc494315122"/>
      <w:bookmarkStart w:id="22" w:name="_Toc496793816"/>
      <w:bookmarkStart w:id="23" w:name="_Toc496793972"/>
      <w:bookmarkStart w:id="24" w:name="_Toc496795997"/>
      <w:bookmarkStart w:id="25" w:name="_Toc497117056"/>
      <w:bookmarkStart w:id="26" w:name="_Toc497117073"/>
      <w:bookmarkStart w:id="27" w:name="_Toc497214001"/>
      <w:bookmarkStart w:id="28" w:name="_Toc497214096"/>
      <w:bookmarkStart w:id="29" w:name="_Toc497214170"/>
      <w:bookmarkStart w:id="30" w:name="_Toc497292486"/>
      <w:bookmarkStart w:id="31" w:name="_Toc497809984"/>
      <w:bookmarkStart w:id="32" w:name="_Toc497810099"/>
      <w:bookmarkStart w:id="33" w:name="_Toc497826626"/>
      <w:bookmarkStart w:id="34" w:name="_Ref497984903"/>
      <w:bookmarkStart w:id="35" w:name="_Toc497985251"/>
      <w:bookmarkStart w:id="36" w:name="_Toc498680853"/>
      <w:bookmarkStart w:id="37" w:name="_Toc498681726"/>
      <w:r w:rsidRPr="00B527D0">
        <w:rPr>
          <w:rFonts w:cs="Arial"/>
        </w:rPr>
        <w:t xml:space="preserve">The legacy CSI framework is suitable for </w:t>
      </w:r>
      <w:r w:rsidR="005125E6">
        <w:rPr>
          <w:rFonts w:cs="Arial"/>
        </w:rPr>
        <w:t>sTTI</w:t>
      </w:r>
      <w:r w:rsidRPr="00B527D0">
        <w:rPr>
          <w:rFonts w:cs="Arial"/>
        </w:rPr>
        <w:t xml:space="preserve"> users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E89070" w14:textId="21B19FC5" w:rsidR="005209BE" w:rsidRPr="00B527D0" w:rsidRDefault="009A43EA" w:rsidP="005209BE">
      <w:pPr>
        <w:pStyle w:val="Heading3"/>
      </w:pPr>
      <w:r w:rsidRPr="00B527D0">
        <w:t>Challenges when a</w:t>
      </w:r>
      <w:r w:rsidR="004E66E6" w:rsidRPr="00B527D0">
        <w:t>pplying</w:t>
      </w:r>
      <w:r w:rsidR="005209BE" w:rsidRPr="00B527D0">
        <w:t xml:space="preserve"> Legacy CSI</w:t>
      </w:r>
      <w:r w:rsidR="004E66E6" w:rsidRPr="00B527D0">
        <w:t xml:space="preserve"> on </w:t>
      </w:r>
      <w:r w:rsidR="005125E6">
        <w:t>sTTI</w:t>
      </w:r>
      <w:r w:rsidR="004E66E6" w:rsidRPr="00B527D0">
        <w:t xml:space="preserve"> scale</w:t>
      </w:r>
    </w:p>
    <w:p w14:paraId="1DF9FBD2" w14:textId="7281487E" w:rsidR="007B2D9B" w:rsidRPr="00B527D0" w:rsidRDefault="007B2D9B" w:rsidP="007B2D9B">
      <w:pPr>
        <w:rPr>
          <w:rFonts w:cs="Arial"/>
          <w:lang w:val="en-US"/>
        </w:rPr>
      </w:pPr>
      <w:r w:rsidRPr="00B527D0">
        <w:rPr>
          <w:rFonts w:cs="Arial"/>
          <w:lang w:val="en-US"/>
        </w:rPr>
        <w:t xml:space="preserve">Given that </w:t>
      </w:r>
      <w:r w:rsidR="005125E6">
        <w:rPr>
          <w:rFonts w:cs="Arial"/>
          <w:lang w:val="en-US"/>
        </w:rPr>
        <w:t>sTTI</w:t>
      </w:r>
      <w:r w:rsidRPr="00B527D0">
        <w:rPr>
          <w:rFonts w:cs="Arial"/>
          <w:lang w:val="en-US"/>
        </w:rPr>
        <w:t xml:space="preserve"> aims at shortening the LTE latency, one could intuitively think that adapting the CSI reporting procedure to the new </w:t>
      </w:r>
      <w:r w:rsidR="005125E6">
        <w:rPr>
          <w:rFonts w:cs="Arial"/>
          <w:lang w:val="en-US"/>
        </w:rPr>
        <w:t>sTTI</w:t>
      </w:r>
      <w:r w:rsidRPr="00B527D0">
        <w:rPr>
          <w:rFonts w:cs="Arial"/>
          <w:lang w:val="en-US"/>
        </w:rPr>
        <w:t xml:space="preserve"> duration would be beneficial. However, the specificities of </w:t>
      </w:r>
      <w:r w:rsidR="005125E6">
        <w:rPr>
          <w:rFonts w:cs="Arial"/>
          <w:lang w:val="en-US"/>
        </w:rPr>
        <w:t>sTTI</w:t>
      </w:r>
      <w:r w:rsidRPr="00B527D0">
        <w:rPr>
          <w:rFonts w:cs="Arial"/>
          <w:lang w:val="en-US"/>
        </w:rPr>
        <w:t xml:space="preserve"> should be </w:t>
      </w:r>
      <w:r w:rsidR="000C2858" w:rsidRPr="00B527D0">
        <w:rPr>
          <w:rFonts w:cs="Arial"/>
          <w:lang w:val="en-US"/>
        </w:rPr>
        <w:t>considered</w:t>
      </w:r>
      <w:r w:rsidRPr="00B527D0">
        <w:rPr>
          <w:rFonts w:cs="Arial"/>
          <w:lang w:val="en-US"/>
        </w:rPr>
        <w:t xml:space="preserve">. </w:t>
      </w:r>
    </w:p>
    <w:p w14:paraId="1A3E66AE" w14:textId="02E3FEFD" w:rsidR="007B2D9B" w:rsidRPr="00B527D0" w:rsidRDefault="007B2D9B" w:rsidP="007B2D9B">
      <w:pPr>
        <w:rPr>
          <w:rFonts w:cs="Arial"/>
        </w:rPr>
      </w:pPr>
      <w:r w:rsidRPr="00B527D0">
        <w:rPr>
          <w:rFonts w:cs="Arial"/>
          <w:lang w:val="en-US"/>
        </w:rPr>
        <w:t xml:space="preserve">Firstly, </w:t>
      </w:r>
      <w:r w:rsidR="005125E6">
        <w:rPr>
          <w:rFonts w:cs="Arial"/>
          <w:lang w:val="en-US"/>
        </w:rPr>
        <w:t>sTTI</w:t>
      </w:r>
      <w:r w:rsidRPr="00B527D0">
        <w:rPr>
          <w:rFonts w:cs="Arial"/>
          <w:lang w:val="en-US"/>
        </w:rPr>
        <w:t xml:space="preserve"> has a rather larger </w:t>
      </w:r>
      <w:r w:rsidR="005F27F5" w:rsidRPr="00B527D0">
        <w:rPr>
          <w:rFonts w:cs="Arial"/>
          <w:lang w:val="en-US"/>
        </w:rPr>
        <w:t xml:space="preserve">control and reference signal </w:t>
      </w:r>
      <w:r w:rsidRPr="00B527D0">
        <w:rPr>
          <w:rFonts w:cs="Arial"/>
          <w:lang w:val="en-US"/>
        </w:rPr>
        <w:t xml:space="preserve">overhead. </w:t>
      </w:r>
      <w:r w:rsidR="003B1BAF" w:rsidRPr="00B527D0">
        <w:rPr>
          <w:rFonts w:cs="Arial"/>
          <w:lang w:val="en-US"/>
        </w:rPr>
        <w:t xml:space="preserve">With as much as half of the </w:t>
      </w:r>
      <w:r w:rsidR="00FF19A3" w:rsidRPr="00B527D0">
        <w:rPr>
          <w:rFonts w:cs="Arial"/>
          <w:lang w:val="en-US"/>
        </w:rPr>
        <w:t xml:space="preserve">UL </w:t>
      </w:r>
      <w:r w:rsidR="005125E6">
        <w:rPr>
          <w:rFonts w:cs="Arial"/>
          <w:lang w:val="en-US"/>
        </w:rPr>
        <w:t>sTTI</w:t>
      </w:r>
      <w:r w:rsidR="003B1BAF" w:rsidRPr="00B527D0">
        <w:rPr>
          <w:rFonts w:cs="Arial"/>
          <w:lang w:val="en-US"/>
        </w:rPr>
        <w:t xml:space="preserve"> occupied by reference signaling already</w:t>
      </w:r>
      <w:r w:rsidR="008C12DF" w:rsidRPr="00B527D0">
        <w:rPr>
          <w:rFonts w:cs="Arial"/>
          <w:lang w:val="en-US"/>
        </w:rPr>
        <w:t>,</w:t>
      </w:r>
      <w:r w:rsidR="003B1BAF" w:rsidRPr="00B527D0">
        <w:rPr>
          <w:rFonts w:cs="Arial"/>
          <w:lang w:val="en-US"/>
        </w:rPr>
        <w:t xml:space="preserve"> </w:t>
      </w:r>
      <w:r w:rsidR="008C12DF" w:rsidRPr="00B527D0">
        <w:rPr>
          <w:rFonts w:cs="Arial"/>
          <w:lang w:val="en-US"/>
        </w:rPr>
        <w:t>i</w:t>
      </w:r>
      <w:r w:rsidR="003B1BAF" w:rsidRPr="00B527D0">
        <w:rPr>
          <w:rFonts w:cs="Arial"/>
          <w:lang w:val="en-US"/>
        </w:rPr>
        <w:t xml:space="preserve">ncreasing the overhead to accommodate more frequent CSI measurements and reporting would be costly. </w:t>
      </w:r>
      <w:r w:rsidRPr="00B527D0">
        <w:rPr>
          <w:rFonts w:cs="Arial"/>
          <w:lang w:val="en-US"/>
        </w:rPr>
        <w:t xml:space="preserve">Secondly, if CSI reporting is to be done in the </w:t>
      </w:r>
      <w:r w:rsidR="005125E6">
        <w:rPr>
          <w:rFonts w:cs="Arial"/>
          <w:lang w:val="en-US"/>
        </w:rPr>
        <w:t>sTTI</w:t>
      </w:r>
      <w:r w:rsidRPr="00B527D0">
        <w:rPr>
          <w:rFonts w:cs="Arial"/>
          <w:lang w:val="en-US"/>
        </w:rPr>
        <w:t xml:space="preserve"> time scale, shorter CSI reporting delay</w:t>
      </w:r>
      <w:r w:rsidR="003B1BAF" w:rsidRPr="00B527D0">
        <w:rPr>
          <w:rFonts w:cs="Arial"/>
          <w:lang w:val="en-US"/>
        </w:rPr>
        <w:t xml:space="preserve"> will put an increased burden on the UE capability. </w:t>
      </w:r>
      <w:r w:rsidR="00B07EE3" w:rsidRPr="00B527D0">
        <w:rPr>
          <w:rFonts w:cs="Arial"/>
          <w:lang w:val="en-US"/>
        </w:rPr>
        <w:t>Today a</w:t>
      </w:r>
      <w:r w:rsidR="00100653" w:rsidRPr="00B527D0">
        <w:rPr>
          <w:rFonts w:cs="Arial"/>
          <w:lang w:val="en-US"/>
        </w:rPr>
        <w:t>n</w:t>
      </w:r>
      <w:r w:rsidR="00B07EE3" w:rsidRPr="00B527D0">
        <w:rPr>
          <w:rFonts w:cs="Arial"/>
          <w:lang w:val="en-US"/>
        </w:rPr>
        <w:t xml:space="preserve"> aperiodic CSI feedback requested in TTI n is reported in TTI n+4. </w:t>
      </w:r>
      <w:r w:rsidR="00E445C7" w:rsidRPr="00B527D0">
        <w:rPr>
          <w:rFonts w:cs="Arial"/>
          <w:lang w:val="en-US"/>
        </w:rPr>
        <w:t xml:space="preserve">So, UEs </w:t>
      </w:r>
      <w:r w:rsidR="00D84909" w:rsidRPr="00B527D0">
        <w:rPr>
          <w:rFonts w:cs="Arial"/>
          <w:lang w:val="en-US"/>
        </w:rPr>
        <w:t>must</w:t>
      </w:r>
      <w:r w:rsidR="00E445C7" w:rsidRPr="00B527D0">
        <w:rPr>
          <w:rFonts w:cs="Arial"/>
          <w:lang w:val="en-US"/>
        </w:rPr>
        <w:t xml:space="preserve"> perform </w:t>
      </w:r>
      <w:r w:rsidR="00B07EE3" w:rsidRPr="00B527D0">
        <w:rPr>
          <w:rFonts w:cs="Arial"/>
          <w:lang w:val="en-US"/>
        </w:rPr>
        <w:t>channel measurement and c</w:t>
      </w:r>
      <w:r w:rsidR="00E445C7" w:rsidRPr="00B527D0">
        <w:rPr>
          <w:rFonts w:cs="Arial"/>
          <w:lang w:val="en-US"/>
        </w:rPr>
        <w:t>ompute</w:t>
      </w:r>
      <w:r w:rsidR="00B07EE3" w:rsidRPr="00B527D0">
        <w:rPr>
          <w:rFonts w:cs="Arial"/>
          <w:lang w:val="en-US"/>
        </w:rPr>
        <w:t xml:space="preserve"> the </w:t>
      </w:r>
      <w:r w:rsidR="00E445C7" w:rsidRPr="00B527D0">
        <w:rPr>
          <w:rFonts w:cs="Arial"/>
          <w:lang w:val="en-US"/>
        </w:rPr>
        <w:t xml:space="preserve">CSI </w:t>
      </w:r>
      <w:r w:rsidR="00B07EE3" w:rsidRPr="00B527D0">
        <w:rPr>
          <w:rFonts w:cs="Arial"/>
          <w:lang w:val="en-US"/>
        </w:rPr>
        <w:t>report</w:t>
      </w:r>
      <w:r w:rsidR="00E445C7" w:rsidRPr="00B527D0">
        <w:rPr>
          <w:rFonts w:cs="Arial"/>
          <w:lang w:val="en-US"/>
        </w:rPr>
        <w:t xml:space="preserve"> in less than 3ms</w:t>
      </w:r>
      <w:r w:rsidR="00B07EE3" w:rsidRPr="00B527D0">
        <w:rPr>
          <w:rFonts w:cs="Arial"/>
          <w:lang w:val="en-US"/>
        </w:rPr>
        <w:t xml:space="preserve">. </w:t>
      </w:r>
      <w:r w:rsidR="00E445C7" w:rsidRPr="00B527D0">
        <w:rPr>
          <w:rFonts w:cs="Arial"/>
          <w:lang w:val="en-US"/>
        </w:rPr>
        <w:t xml:space="preserve">When applying CSI reporting on </w:t>
      </w:r>
      <w:r w:rsidR="005125E6">
        <w:rPr>
          <w:rFonts w:cs="Arial"/>
          <w:lang w:val="en-US"/>
        </w:rPr>
        <w:t>sTTI</w:t>
      </w:r>
      <w:r w:rsidR="00E445C7" w:rsidRPr="00B527D0">
        <w:rPr>
          <w:rFonts w:cs="Arial"/>
          <w:lang w:val="en-US"/>
        </w:rPr>
        <w:t xml:space="preserve"> scale, the intention is to reduce the CSI feedback delay and thus the CSI processing delay. </w:t>
      </w:r>
      <w:r w:rsidR="00B07EE3" w:rsidRPr="00B527D0">
        <w:rPr>
          <w:rFonts w:cs="Arial"/>
          <w:lang w:val="en-US"/>
        </w:rPr>
        <w:t xml:space="preserve">If this is linearly </w:t>
      </w:r>
      <w:r w:rsidR="00E445C7" w:rsidRPr="00B527D0">
        <w:rPr>
          <w:rFonts w:cs="Arial"/>
          <w:lang w:val="en-US"/>
        </w:rPr>
        <w:t>down</w:t>
      </w:r>
      <w:r w:rsidR="00B07EE3" w:rsidRPr="00B527D0">
        <w:rPr>
          <w:rFonts w:cs="Arial"/>
          <w:lang w:val="en-US"/>
        </w:rPr>
        <w:t>scaled with TTI length,</w:t>
      </w:r>
      <w:r w:rsidR="00A01B37" w:rsidRPr="00B527D0">
        <w:rPr>
          <w:rFonts w:cs="Arial"/>
          <w:lang w:val="en-US"/>
        </w:rPr>
        <w:t xml:space="preserve"> </w:t>
      </w:r>
      <w:r w:rsidR="00C41972" w:rsidRPr="00B527D0">
        <w:rPr>
          <w:rFonts w:cs="Arial"/>
          <w:lang w:val="en-US"/>
        </w:rPr>
        <w:t>around</w:t>
      </w:r>
      <w:r w:rsidR="00A01B37" w:rsidRPr="00B527D0">
        <w:rPr>
          <w:rFonts w:cs="Arial"/>
          <w:lang w:val="en-US"/>
        </w:rPr>
        <w:t xml:space="preserve"> 0.5</w:t>
      </w:r>
      <w:r w:rsidR="00B07EE3" w:rsidRPr="00B527D0">
        <w:rPr>
          <w:rFonts w:cs="Arial"/>
          <w:lang w:val="en-US"/>
        </w:rPr>
        <w:t xml:space="preserve">ms will be available for CSI processing with a 2os </w:t>
      </w:r>
      <w:r w:rsidR="005125E6">
        <w:rPr>
          <w:rFonts w:cs="Arial"/>
          <w:lang w:val="en-US"/>
        </w:rPr>
        <w:t>sTTI</w:t>
      </w:r>
      <w:r w:rsidR="00B07EE3" w:rsidRPr="00B527D0">
        <w:rPr>
          <w:rFonts w:cs="Arial"/>
          <w:lang w:val="en-US"/>
        </w:rPr>
        <w:t xml:space="preserve">. </w:t>
      </w:r>
      <w:r w:rsidR="00E445C7" w:rsidRPr="00B527D0">
        <w:rPr>
          <w:rFonts w:cs="Arial"/>
          <w:lang w:val="en-US"/>
        </w:rPr>
        <w:t xml:space="preserve">This is a quite substantial </w:t>
      </w:r>
      <w:r w:rsidR="005D62D1" w:rsidRPr="00B527D0">
        <w:rPr>
          <w:rFonts w:cs="Arial"/>
          <w:lang w:val="en-US"/>
        </w:rPr>
        <w:t xml:space="preserve">CSI </w:t>
      </w:r>
      <w:r w:rsidR="00E445C7" w:rsidRPr="00B527D0">
        <w:rPr>
          <w:rFonts w:cs="Arial"/>
          <w:lang w:val="en-US"/>
        </w:rPr>
        <w:t>processing time reduction. In particular</w:t>
      </w:r>
      <w:r w:rsidR="00B13BF1" w:rsidRPr="00B527D0">
        <w:rPr>
          <w:rFonts w:cs="Arial"/>
          <w:lang w:val="en-US"/>
        </w:rPr>
        <w:t>,</w:t>
      </w:r>
      <w:r w:rsidR="00C909A4" w:rsidRPr="00B527D0">
        <w:rPr>
          <w:rFonts w:cs="Arial"/>
          <w:lang w:val="en-US"/>
        </w:rPr>
        <w:t xml:space="preserve"> </w:t>
      </w:r>
      <w:r w:rsidR="00E445C7" w:rsidRPr="00B527D0">
        <w:rPr>
          <w:rFonts w:cs="Arial"/>
          <w:lang w:val="en-US"/>
        </w:rPr>
        <w:t xml:space="preserve">it should be noted that </w:t>
      </w:r>
      <w:r w:rsidR="00D84909" w:rsidRPr="00B527D0">
        <w:rPr>
          <w:rFonts w:cs="Arial"/>
          <w:lang w:val="en-US"/>
        </w:rPr>
        <w:t xml:space="preserve">after reception of TTI n, </w:t>
      </w:r>
      <w:r w:rsidR="00E445C7" w:rsidRPr="00B527D0">
        <w:rPr>
          <w:rFonts w:cs="Arial"/>
          <w:lang w:val="en-US"/>
        </w:rPr>
        <w:t xml:space="preserve">the </w:t>
      </w:r>
      <w:r w:rsidR="00C066BA" w:rsidRPr="00B527D0">
        <w:rPr>
          <w:rFonts w:cs="Arial"/>
          <w:lang w:val="en-US"/>
        </w:rPr>
        <w:t>processing for perfo</w:t>
      </w:r>
      <w:r w:rsidR="001857D0" w:rsidRPr="00B527D0">
        <w:rPr>
          <w:rFonts w:cs="Arial"/>
          <w:lang w:val="en-US"/>
        </w:rPr>
        <w:t>r</w:t>
      </w:r>
      <w:r w:rsidR="00C066BA" w:rsidRPr="00B527D0">
        <w:rPr>
          <w:rFonts w:cs="Arial"/>
          <w:lang w:val="en-US"/>
        </w:rPr>
        <w:t xml:space="preserve">ming </w:t>
      </w:r>
      <w:r w:rsidR="00E445C7" w:rsidRPr="00B527D0">
        <w:rPr>
          <w:rFonts w:cs="Arial"/>
          <w:lang w:val="en-US"/>
        </w:rPr>
        <w:t>CSI measurements (channel quality measurement, precoder selection)</w:t>
      </w:r>
      <w:r w:rsidR="00D84909" w:rsidRPr="00B527D0">
        <w:rPr>
          <w:rFonts w:cs="Arial"/>
          <w:lang w:val="en-US"/>
        </w:rPr>
        <w:t xml:space="preserve"> as such do</w:t>
      </w:r>
      <w:r w:rsidR="00E445C7" w:rsidRPr="00B527D0">
        <w:rPr>
          <w:rFonts w:cs="Arial"/>
          <w:lang w:val="en-US"/>
        </w:rPr>
        <w:t xml:space="preserve"> not depend on the TTI length.</w:t>
      </w:r>
      <w:r w:rsidR="00D84909" w:rsidRPr="00B527D0">
        <w:rPr>
          <w:rFonts w:cs="Arial"/>
          <w:lang w:val="en-US"/>
        </w:rPr>
        <w:t xml:space="preserve"> </w:t>
      </w:r>
      <w:r w:rsidR="00192E52" w:rsidRPr="00B527D0">
        <w:rPr>
          <w:rFonts w:cs="Arial"/>
          <w:lang w:val="en-US"/>
        </w:rPr>
        <w:t>Thus,</w:t>
      </w:r>
      <w:r w:rsidR="00D84909" w:rsidRPr="00B527D0">
        <w:rPr>
          <w:rFonts w:cs="Arial"/>
          <w:lang w:val="en-US"/>
        </w:rPr>
        <w:t xml:space="preserve"> i</w:t>
      </w:r>
      <w:r w:rsidR="00E445C7" w:rsidRPr="00B527D0">
        <w:rPr>
          <w:rFonts w:cs="Arial"/>
          <w:lang w:val="en-US"/>
        </w:rPr>
        <w:t xml:space="preserve">t is questionable whether the </w:t>
      </w:r>
      <w:r w:rsidR="00D84909" w:rsidRPr="00B527D0">
        <w:rPr>
          <w:rFonts w:cs="Arial"/>
          <w:lang w:val="en-US"/>
        </w:rPr>
        <w:t>existing</w:t>
      </w:r>
      <w:r w:rsidR="00E445C7" w:rsidRPr="00B527D0">
        <w:rPr>
          <w:rFonts w:cs="Arial"/>
          <w:lang w:val="en-US"/>
        </w:rPr>
        <w:t xml:space="preserve"> CSI reports can be computed in such a </w:t>
      </w:r>
      <w:r w:rsidR="00D84909" w:rsidRPr="00B527D0">
        <w:rPr>
          <w:rFonts w:cs="Arial"/>
          <w:lang w:val="en-US"/>
        </w:rPr>
        <w:t>reduced</w:t>
      </w:r>
      <w:r w:rsidR="00E445C7" w:rsidRPr="00B527D0">
        <w:rPr>
          <w:rFonts w:cs="Arial"/>
          <w:lang w:val="en-US"/>
        </w:rPr>
        <w:t xml:space="preserve"> time</w:t>
      </w:r>
      <w:r w:rsidR="00100653" w:rsidRPr="00B527D0">
        <w:rPr>
          <w:rFonts w:cs="Arial"/>
          <w:lang w:val="en-US"/>
        </w:rPr>
        <w:t>.</w:t>
      </w:r>
    </w:p>
    <w:p w14:paraId="66F5EE4F" w14:textId="470B08E6" w:rsidR="007B2D9B" w:rsidRPr="00B527D0" w:rsidRDefault="007B2D9B" w:rsidP="007B2D9B">
      <w:pPr>
        <w:pStyle w:val="Observation"/>
        <w:rPr>
          <w:rFonts w:cs="Arial"/>
        </w:rPr>
      </w:pPr>
      <w:bookmarkStart w:id="38" w:name="_Toc473286492"/>
      <w:bookmarkStart w:id="39" w:name="_Toc473290037"/>
      <w:bookmarkStart w:id="40" w:name="_Toc473290084"/>
      <w:bookmarkStart w:id="41" w:name="_Toc473290098"/>
      <w:bookmarkStart w:id="42" w:name="_Toc473293415"/>
      <w:bookmarkStart w:id="43" w:name="_Toc473646484"/>
      <w:bookmarkStart w:id="44" w:name="_Toc473705165"/>
      <w:bookmarkStart w:id="45" w:name="_Toc473900585"/>
      <w:bookmarkStart w:id="46" w:name="_Toc474168748"/>
      <w:bookmarkStart w:id="47" w:name="_Toc474169119"/>
      <w:bookmarkStart w:id="48" w:name="_Toc476834884"/>
      <w:bookmarkStart w:id="49" w:name="_Toc477781939"/>
      <w:bookmarkStart w:id="50" w:name="_Toc477781978"/>
      <w:bookmarkStart w:id="51" w:name="_Toc478144011"/>
      <w:bookmarkStart w:id="52" w:name="_Toc481752154"/>
      <w:bookmarkStart w:id="53" w:name="_Toc494315123"/>
      <w:bookmarkStart w:id="54" w:name="_Toc496793817"/>
      <w:bookmarkStart w:id="55" w:name="_Toc496793973"/>
      <w:bookmarkStart w:id="56" w:name="_Toc496795998"/>
      <w:bookmarkStart w:id="57" w:name="_Toc497117057"/>
      <w:bookmarkStart w:id="58" w:name="_Toc497117074"/>
      <w:bookmarkStart w:id="59" w:name="_Toc497214002"/>
      <w:bookmarkStart w:id="60" w:name="_Toc497214097"/>
      <w:bookmarkStart w:id="61" w:name="_Toc497214171"/>
      <w:bookmarkStart w:id="62" w:name="_Toc497292487"/>
      <w:bookmarkStart w:id="63" w:name="_Toc497809985"/>
      <w:bookmarkStart w:id="64" w:name="_Toc497810100"/>
      <w:bookmarkStart w:id="65" w:name="_Toc497826627"/>
      <w:bookmarkStart w:id="66" w:name="_Toc497985252"/>
      <w:bookmarkStart w:id="67" w:name="_Toc498680854"/>
      <w:bookmarkStart w:id="68" w:name="_Toc498681727"/>
      <w:r w:rsidRPr="00B527D0">
        <w:rPr>
          <w:rFonts w:cs="Arial"/>
          <w:lang w:val="en-US"/>
        </w:rPr>
        <w:t xml:space="preserve">Support of full extent of today’s CSI reporting on </w:t>
      </w:r>
      <w:r w:rsidR="005125E6">
        <w:rPr>
          <w:rFonts w:cs="Arial"/>
          <w:lang w:val="en-US"/>
        </w:rPr>
        <w:t>sTTI</w:t>
      </w:r>
      <w:r w:rsidRPr="00B527D0">
        <w:rPr>
          <w:rFonts w:cs="Arial"/>
          <w:lang w:val="en-US"/>
        </w:rPr>
        <w:t xml:space="preserve"> scale is challenging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CC8242" w14:textId="6331C866" w:rsidR="007F31F0" w:rsidRPr="00B527D0" w:rsidRDefault="009A43EA" w:rsidP="0099140F">
      <w:pPr>
        <w:pStyle w:val="Heading2"/>
      </w:pPr>
      <w:bookmarkStart w:id="69" w:name="_Toc473290041"/>
      <w:bookmarkStart w:id="70" w:name="_Toc473290088"/>
      <w:bookmarkStart w:id="71" w:name="_Toc473290042"/>
      <w:bookmarkStart w:id="72" w:name="_Toc473290057"/>
      <w:bookmarkStart w:id="73" w:name="_Toc473290090"/>
      <w:bookmarkStart w:id="74" w:name="_Toc473290094"/>
      <w:bookmarkStart w:id="75" w:name="_Toc473290103"/>
      <w:bookmarkStart w:id="76" w:name="_Toc473290107"/>
      <w:bookmarkStart w:id="77" w:name="_Toc473293420"/>
      <w:bookmarkStart w:id="78" w:name="_Toc473293426"/>
      <w:bookmarkEnd w:id="69"/>
      <w:bookmarkEnd w:id="70"/>
      <w:r w:rsidRPr="00B527D0">
        <w:t xml:space="preserve">Restrictions of </w:t>
      </w:r>
      <w:r w:rsidR="00B13BF1" w:rsidRPr="00B527D0">
        <w:t>CSI feedback</w:t>
      </w:r>
      <w:r w:rsidR="00D021B8" w:rsidRPr="00B527D0">
        <w:t xml:space="preserve"> for </w:t>
      </w:r>
      <w:r w:rsidR="005125E6">
        <w:t>sTTI</w:t>
      </w:r>
    </w:p>
    <w:p w14:paraId="7CC3B2E4" w14:textId="009E11EA" w:rsidR="001E5574" w:rsidRPr="00B527D0" w:rsidRDefault="001E5574" w:rsidP="001E5574">
      <w:pPr>
        <w:pStyle w:val="Heading3"/>
        <w:rPr>
          <w:lang w:val="en-US"/>
        </w:rPr>
      </w:pPr>
      <w:r w:rsidRPr="00B527D0">
        <w:rPr>
          <w:lang w:val="en-US"/>
        </w:rPr>
        <w:t xml:space="preserve">CSI reporting modes for </w:t>
      </w:r>
      <w:r w:rsidR="005125E6">
        <w:rPr>
          <w:lang w:val="en-US"/>
        </w:rPr>
        <w:t>sTTI</w:t>
      </w:r>
      <w:r w:rsidRPr="00B527D0">
        <w:rPr>
          <w:lang w:val="en-US"/>
        </w:rPr>
        <w:t xml:space="preserve"> transmission rate </w:t>
      </w:r>
    </w:p>
    <w:p w14:paraId="5406501E" w14:textId="45B876D0" w:rsidR="001E5574" w:rsidRPr="00B527D0" w:rsidRDefault="001F7F9F" w:rsidP="00192F4B">
      <w:pPr>
        <w:rPr>
          <w:rFonts w:cs="Arial"/>
          <w:lang w:val="en-US"/>
        </w:rPr>
      </w:pPr>
      <w:r>
        <w:rPr>
          <w:rFonts w:cs="Arial"/>
          <w:lang w:val="en-US"/>
        </w:rPr>
        <w:t xml:space="preserve">In RAN1#90bis it was agreed to not support periodic CSI reporting for sTTI. </w:t>
      </w:r>
    </w:p>
    <w:p w14:paraId="113C70AF" w14:textId="57A29102" w:rsidR="001E5574" w:rsidRPr="00B527D0" w:rsidRDefault="001E5574" w:rsidP="001E5574">
      <w:pPr>
        <w:rPr>
          <w:rFonts w:cs="Arial"/>
          <w:lang w:val="en-US"/>
        </w:rPr>
      </w:pPr>
      <w:r w:rsidRPr="00B527D0">
        <w:rPr>
          <w:rFonts w:cs="Arial"/>
          <w:lang w:val="en-US"/>
        </w:rPr>
        <w:t xml:space="preserve">When it comes to aperiodic CSI reporting, </w:t>
      </w:r>
      <w:r w:rsidRPr="00B527D0">
        <w:rPr>
          <w:rFonts w:cs="Arial"/>
        </w:rPr>
        <w:t xml:space="preserve">within the legacy framework of CSI reporting, a </w:t>
      </w:r>
      <w:r w:rsidR="005125E6">
        <w:rPr>
          <w:rFonts w:cs="Arial"/>
        </w:rPr>
        <w:t>sTTI</w:t>
      </w:r>
      <w:r w:rsidRPr="00B527D0">
        <w:rPr>
          <w:rFonts w:cs="Arial"/>
        </w:rPr>
        <w:t xml:space="preserve"> user may benefit from faster feedback of some of the CSI report types. Depending of the UE capability in terms of processing time, and which part of CSI is benefiting from a more frequent report, more frequent sPUSCH (i.e. aperiodic) CSI reports could be considered. But as mentioned earlier, the reference signal overhead being quite substantial on sPUSCH, applying all existing aperiodic CSI reporting modes on sPUSCH should be avoided.  </w:t>
      </w:r>
    </w:p>
    <w:p w14:paraId="56BB9E9F" w14:textId="7177AC7D" w:rsidR="001E5574" w:rsidRPr="00B527D0" w:rsidRDefault="001E5574" w:rsidP="001E5574">
      <w:pPr>
        <w:rPr>
          <w:rFonts w:cs="Arial"/>
          <w:lang w:eastAsia="x-none"/>
        </w:rPr>
      </w:pPr>
      <w:r w:rsidRPr="00B527D0">
        <w:rPr>
          <w:rFonts w:cs="Arial"/>
        </w:rPr>
        <w:t xml:space="preserve">Aperiodic reports mode can contain either wideband (mode 1-x) or frequency selective (mode 2-x and 3-x) CQI reports.  Mode 2-x has the UE controlling which band gets reported while mode 3-x is networked controlled.  Furthermore, PMI can also be narrowband (mode 1-1, 3-1) or frequency selective (mode 1-2,2-2, 3-2). </w:t>
      </w:r>
    </w:p>
    <w:p w14:paraId="7AB2BD46" w14:textId="41D20C58" w:rsidR="001E5574" w:rsidRPr="00B527D0" w:rsidRDefault="001E5574" w:rsidP="001E5574">
      <w:pPr>
        <w:pStyle w:val="BodyText"/>
        <w:rPr>
          <w:rFonts w:cs="Arial"/>
          <w:lang w:val="en-US"/>
        </w:rPr>
      </w:pPr>
      <w:r w:rsidRPr="00B527D0">
        <w:rPr>
          <w:rFonts w:cs="Arial"/>
          <w:lang w:val="en-US"/>
        </w:rPr>
        <w:lastRenderedPageBreak/>
        <w:t xml:space="preserve"> In principle, the CSI measurements performed on a TTI are valid and relevant for </w:t>
      </w:r>
      <w:r w:rsidR="005125E6">
        <w:rPr>
          <w:rFonts w:cs="Arial"/>
          <w:lang w:val="en-US"/>
        </w:rPr>
        <w:t>sTTI</w:t>
      </w:r>
      <w:r w:rsidRPr="00B527D0">
        <w:rPr>
          <w:rFonts w:cs="Arial"/>
          <w:lang w:val="en-US"/>
        </w:rPr>
        <w:t xml:space="preserve"> scheduling to a very large extent. CSI reporting based on 1ms TTI is able to capture sufficiently accurately the variation of the spatial properties of the channel. No additional gain is expected if PMI is reported more frequently than what is possible today on 1ms TTI. So, the eNB can base its scheduling decisions for </w:t>
      </w:r>
      <w:r w:rsidR="005125E6">
        <w:rPr>
          <w:rFonts w:cs="Arial"/>
          <w:lang w:val="en-US"/>
        </w:rPr>
        <w:t>sTTI</w:t>
      </w:r>
      <w:r w:rsidRPr="00B527D0">
        <w:rPr>
          <w:rFonts w:cs="Arial"/>
          <w:lang w:val="en-US"/>
        </w:rPr>
        <w:t xml:space="preserve"> on 1ms TTI CSI measurement and reporting. </w:t>
      </w:r>
    </w:p>
    <w:p w14:paraId="3F5158A2" w14:textId="073CD6AD" w:rsidR="001E5574" w:rsidRPr="00B527D0" w:rsidRDefault="001E5574" w:rsidP="00E22DD5">
      <w:pPr>
        <w:pStyle w:val="Observation"/>
        <w:rPr>
          <w:rFonts w:cs="Arial"/>
          <w:lang w:val="en-US"/>
        </w:rPr>
      </w:pPr>
      <w:bookmarkStart w:id="79" w:name="_Toc497117059"/>
      <w:bookmarkStart w:id="80" w:name="_Toc497117076"/>
      <w:bookmarkStart w:id="81" w:name="_Toc497214004"/>
      <w:bookmarkStart w:id="82" w:name="_Toc497214099"/>
      <w:bookmarkStart w:id="83" w:name="_Toc497214173"/>
      <w:bookmarkStart w:id="84" w:name="_Toc497292489"/>
      <w:bookmarkStart w:id="85" w:name="_Toc497809987"/>
      <w:bookmarkStart w:id="86" w:name="_Toc497810102"/>
      <w:bookmarkStart w:id="87" w:name="_Toc497826629"/>
      <w:bookmarkStart w:id="88" w:name="_Toc497985254"/>
      <w:bookmarkStart w:id="89" w:name="_Toc498680855"/>
      <w:bookmarkStart w:id="90" w:name="_Ref498680932"/>
      <w:bookmarkStart w:id="91" w:name="_Toc498681728"/>
      <w:r w:rsidRPr="00B527D0">
        <w:rPr>
          <w:rFonts w:cs="Arial"/>
        </w:rPr>
        <w:t xml:space="preserve">Spatial information such as PMI/RI measurement and reporting based on 1ms TTI are suitable for </w:t>
      </w:r>
      <w:r w:rsidR="005125E6">
        <w:rPr>
          <w:rFonts w:cs="Arial"/>
        </w:rPr>
        <w:t>sTTI</w:t>
      </w:r>
      <w:r w:rsidRPr="00B527D0">
        <w:rPr>
          <w:rFonts w:cs="Arial"/>
        </w:rPr>
        <w:t xml:space="preserve"> scheduling</w:t>
      </w:r>
      <w:bookmarkEnd w:id="79"/>
      <w:bookmarkEnd w:id="80"/>
      <w:bookmarkEnd w:id="81"/>
      <w:bookmarkEnd w:id="82"/>
      <w:bookmarkEnd w:id="83"/>
      <w:bookmarkEnd w:id="84"/>
      <w:bookmarkEnd w:id="85"/>
      <w:bookmarkEnd w:id="86"/>
      <w:bookmarkEnd w:id="87"/>
      <w:bookmarkEnd w:id="88"/>
      <w:bookmarkEnd w:id="89"/>
      <w:bookmarkEnd w:id="90"/>
      <w:bookmarkEnd w:id="91"/>
    </w:p>
    <w:p w14:paraId="2EC20822" w14:textId="528BB8D2" w:rsidR="001E5574" w:rsidRPr="00B527D0" w:rsidRDefault="001E5574" w:rsidP="001E5574">
      <w:pPr>
        <w:rPr>
          <w:rFonts w:cs="Arial"/>
          <w:lang w:val="en-US"/>
        </w:rPr>
      </w:pPr>
      <w:r w:rsidRPr="00B527D0">
        <w:rPr>
          <w:rFonts w:cs="Arial"/>
          <w:lang w:val="en-US"/>
        </w:rPr>
        <w:t>As a consequence of</w:t>
      </w:r>
      <w:r w:rsidR="00EB3C85">
        <w:rPr>
          <w:rFonts w:cs="Arial"/>
          <w:lang w:val="en-US"/>
        </w:rPr>
        <w:t xml:space="preserve"> </w:t>
      </w:r>
      <w:r w:rsidR="00EB3C85">
        <w:rPr>
          <w:rFonts w:cs="Arial"/>
          <w:lang w:val="en-US"/>
        </w:rPr>
        <w:fldChar w:fldCharType="begin"/>
      </w:r>
      <w:r w:rsidR="00EB3C85">
        <w:rPr>
          <w:rFonts w:cs="Arial"/>
          <w:lang w:val="en-US"/>
        </w:rPr>
        <w:instrText xml:space="preserve"> REF _Ref498680932 \r \h </w:instrText>
      </w:r>
      <w:r w:rsidR="00EB3C85">
        <w:rPr>
          <w:rFonts w:cs="Arial"/>
          <w:lang w:val="en-US"/>
        </w:rPr>
      </w:r>
      <w:r w:rsidR="00EB3C85">
        <w:rPr>
          <w:rFonts w:cs="Arial"/>
          <w:lang w:val="en-US"/>
        </w:rPr>
        <w:fldChar w:fldCharType="separate"/>
      </w:r>
      <w:r w:rsidR="00D61808">
        <w:rPr>
          <w:rFonts w:cs="Arial"/>
          <w:lang w:val="en-US"/>
        </w:rPr>
        <w:t>Observation 3</w:t>
      </w:r>
      <w:r w:rsidR="00EB3C85">
        <w:rPr>
          <w:rFonts w:cs="Arial"/>
          <w:lang w:val="en-US"/>
        </w:rPr>
        <w:fldChar w:fldCharType="end"/>
      </w:r>
      <w:r w:rsidR="00EB3C85">
        <w:rPr>
          <w:rFonts w:cs="Arial"/>
          <w:lang w:val="en-US"/>
        </w:rPr>
        <w:t xml:space="preserve">, </w:t>
      </w:r>
      <w:r w:rsidRPr="00B527D0">
        <w:rPr>
          <w:rFonts w:cs="Arial"/>
          <w:lang w:val="en-US"/>
        </w:rPr>
        <w:t xml:space="preserve">the complicated and payload heavy aperiodic CSI reporting modes based on multiple PMI, i.e. Modes 1-2, 2-2, 3-2, do not need to be supported at </w:t>
      </w:r>
      <w:r w:rsidR="005125E6">
        <w:rPr>
          <w:rFonts w:cs="Arial"/>
          <w:lang w:val="en-US"/>
        </w:rPr>
        <w:t>sTTI</w:t>
      </w:r>
      <w:r w:rsidRPr="00B527D0">
        <w:rPr>
          <w:rFonts w:cs="Arial"/>
          <w:lang w:val="en-US"/>
        </w:rPr>
        <w:t xml:space="preserve"> transmission rate.</w:t>
      </w:r>
    </w:p>
    <w:p w14:paraId="64BECC8D" w14:textId="59CD2672" w:rsidR="001E5574" w:rsidRPr="00B527D0" w:rsidRDefault="001E5574" w:rsidP="001E5574">
      <w:pPr>
        <w:pStyle w:val="Caption"/>
        <w:ind w:left="1695" w:hanging="1695"/>
        <w:jc w:val="both"/>
        <w:rPr>
          <w:rFonts w:cs="Arial"/>
        </w:rPr>
      </w:pPr>
      <w:bookmarkStart w:id="92" w:name="_Toc497117069"/>
      <w:bookmarkStart w:id="93" w:name="_Toc497117086"/>
      <w:bookmarkStart w:id="94" w:name="_Toc497214016"/>
      <w:bookmarkStart w:id="95" w:name="_Toc497214111"/>
      <w:bookmarkStart w:id="96" w:name="_Toc497214186"/>
      <w:bookmarkStart w:id="97" w:name="_Toc497292502"/>
      <w:bookmarkStart w:id="98" w:name="_Toc497809998"/>
      <w:bookmarkStart w:id="99" w:name="_Toc497810109"/>
      <w:bookmarkStart w:id="100" w:name="_Toc497826636"/>
      <w:bookmarkStart w:id="101" w:name="_Toc497985262"/>
      <w:bookmarkStart w:id="102" w:name="_Toc498680862"/>
      <w:bookmarkStart w:id="103" w:name="_Toc498681735"/>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1</w:t>
      </w:r>
      <w:r w:rsidRPr="00B527D0">
        <w:rPr>
          <w:rFonts w:cs="Arial"/>
        </w:rPr>
        <w:fldChar w:fldCharType="end"/>
      </w:r>
      <w:r w:rsidRPr="00B527D0">
        <w:rPr>
          <w:rFonts w:cs="Arial"/>
        </w:rPr>
        <w:tab/>
        <w:t>Aperiodic sPUSCH CSI feedback m</w:t>
      </w:r>
      <w:r w:rsidRPr="00B527D0">
        <w:rPr>
          <w:rFonts w:cs="Arial"/>
          <w:lang w:val="en-US"/>
        </w:rPr>
        <w:t xml:space="preserve">odes 1-2, 2-2 and 3-2 are not supported for </w:t>
      </w:r>
      <w:r w:rsidR="005125E6">
        <w:rPr>
          <w:rFonts w:cs="Arial"/>
          <w:lang w:val="en-US"/>
        </w:rPr>
        <w:t>sTTI</w:t>
      </w:r>
      <w:bookmarkEnd w:id="92"/>
      <w:bookmarkEnd w:id="93"/>
      <w:bookmarkEnd w:id="94"/>
      <w:bookmarkEnd w:id="95"/>
      <w:bookmarkEnd w:id="96"/>
      <w:bookmarkEnd w:id="97"/>
      <w:bookmarkEnd w:id="98"/>
      <w:bookmarkEnd w:id="99"/>
      <w:bookmarkEnd w:id="100"/>
      <w:bookmarkEnd w:id="101"/>
      <w:bookmarkEnd w:id="102"/>
      <w:bookmarkEnd w:id="103"/>
    </w:p>
    <w:p w14:paraId="06BA3304" w14:textId="0BCDE503" w:rsidR="001E5574" w:rsidRPr="00B527D0" w:rsidRDefault="001E5574" w:rsidP="001E5574">
      <w:pPr>
        <w:rPr>
          <w:rFonts w:cs="Arial"/>
          <w:lang w:val="en-US"/>
        </w:rPr>
      </w:pPr>
      <w:r w:rsidRPr="00B527D0">
        <w:rPr>
          <w:rFonts w:cs="Arial"/>
          <w:lang w:val="en-US"/>
        </w:rPr>
        <w:t xml:space="preserve">CQI, however, reports the available MCS at a given time. This can change rather fast, based on interference condition, and having the CQI rate following the </w:t>
      </w:r>
      <w:r w:rsidR="005125E6">
        <w:rPr>
          <w:rFonts w:cs="Arial"/>
          <w:lang w:val="en-US"/>
        </w:rPr>
        <w:t>sTTI</w:t>
      </w:r>
      <w:r w:rsidRPr="00B527D0">
        <w:rPr>
          <w:rFonts w:cs="Arial"/>
          <w:lang w:val="en-US"/>
        </w:rPr>
        <w:t xml:space="preserve"> transmission rate could be beneficial, especially if the interference consists of other </w:t>
      </w:r>
      <w:r w:rsidR="005125E6">
        <w:rPr>
          <w:rFonts w:cs="Arial"/>
          <w:lang w:val="en-US"/>
        </w:rPr>
        <w:t>sTTI</w:t>
      </w:r>
      <w:r w:rsidRPr="00B527D0">
        <w:rPr>
          <w:rFonts w:cs="Arial"/>
          <w:lang w:val="en-US"/>
        </w:rPr>
        <w:t xml:space="preserve"> users. It is thus proposed to investigate CQI feedback for </w:t>
      </w:r>
      <w:r w:rsidR="005125E6">
        <w:rPr>
          <w:rFonts w:cs="Arial"/>
          <w:lang w:val="en-US"/>
        </w:rPr>
        <w:t>sTTI</w:t>
      </w:r>
      <w:r w:rsidRPr="00B527D0">
        <w:rPr>
          <w:rFonts w:cs="Arial"/>
          <w:lang w:val="en-US"/>
        </w:rPr>
        <w:t xml:space="preserve"> using sPUSCH. Aperiodic subband CQI reporting has the advantage to enable frequency selective scheduling. However, to simplify CSI reporting on </w:t>
      </w:r>
      <w:r w:rsidR="005125E6">
        <w:rPr>
          <w:rFonts w:cs="Arial"/>
          <w:lang w:val="en-US"/>
        </w:rPr>
        <w:t>sTTI</w:t>
      </w:r>
      <w:r w:rsidRPr="00B527D0">
        <w:rPr>
          <w:rFonts w:cs="Arial"/>
          <w:lang w:val="en-US"/>
        </w:rPr>
        <w:t xml:space="preserve">, the UE selected subband CQI modes, i.e. modes 2-0 and 2-2, do not need to be supported. These reports provide a fragmented view of the CQI experienced by the UE over the system bandwidth and do not help the scheduler in case the UE selected subband cannot be scheduled to the UE due to other system level constraints. </w:t>
      </w:r>
    </w:p>
    <w:p w14:paraId="3043C23F" w14:textId="77777777" w:rsidR="001E5574" w:rsidRPr="00B527D0" w:rsidRDefault="001E5574" w:rsidP="001E5574">
      <w:pPr>
        <w:pStyle w:val="Observation"/>
        <w:rPr>
          <w:rFonts w:cs="Arial"/>
          <w:lang w:val="en-US"/>
        </w:rPr>
      </w:pPr>
      <w:bookmarkStart w:id="104" w:name="_Toc497117060"/>
      <w:bookmarkStart w:id="105" w:name="_Toc497117077"/>
      <w:bookmarkStart w:id="106" w:name="_Toc497214005"/>
      <w:bookmarkStart w:id="107" w:name="_Toc497214100"/>
      <w:bookmarkStart w:id="108" w:name="_Toc497214174"/>
      <w:bookmarkStart w:id="109" w:name="_Toc497292490"/>
      <w:bookmarkStart w:id="110" w:name="_Toc497809988"/>
      <w:bookmarkStart w:id="111" w:name="_Toc497810103"/>
      <w:bookmarkStart w:id="112" w:name="_Toc497826630"/>
      <w:bookmarkStart w:id="113" w:name="_Toc497985255"/>
      <w:bookmarkStart w:id="114" w:name="_Toc498680856"/>
      <w:bookmarkStart w:id="115" w:name="_Toc498681729"/>
      <w:r w:rsidRPr="00B527D0">
        <w:rPr>
          <w:rFonts w:cs="Arial"/>
        </w:rPr>
        <w:t>Aperiodic CQI feedback on sPUSCH could be beneficial</w:t>
      </w:r>
      <w:bookmarkEnd w:id="104"/>
      <w:bookmarkEnd w:id="105"/>
      <w:bookmarkEnd w:id="106"/>
      <w:bookmarkEnd w:id="107"/>
      <w:bookmarkEnd w:id="108"/>
      <w:bookmarkEnd w:id="109"/>
      <w:bookmarkEnd w:id="110"/>
      <w:bookmarkEnd w:id="111"/>
      <w:bookmarkEnd w:id="112"/>
      <w:bookmarkEnd w:id="113"/>
      <w:bookmarkEnd w:id="114"/>
      <w:bookmarkEnd w:id="115"/>
    </w:p>
    <w:p w14:paraId="327FC1A8" w14:textId="2B997E0A" w:rsidR="001E5574" w:rsidRPr="00B527D0" w:rsidRDefault="001E5574" w:rsidP="001E5574">
      <w:pPr>
        <w:pStyle w:val="Caption"/>
        <w:ind w:left="1695" w:hanging="1695"/>
        <w:jc w:val="both"/>
        <w:rPr>
          <w:rFonts w:cs="Arial"/>
        </w:rPr>
      </w:pPr>
      <w:bookmarkStart w:id="116" w:name="_Toc497117070"/>
      <w:bookmarkStart w:id="117" w:name="_Toc497117087"/>
      <w:bookmarkStart w:id="118" w:name="_Toc497214017"/>
      <w:bookmarkStart w:id="119" w:name="_Toc497214112"/>
      <w:bookmarkStart w:id="120" w:name="_Toc497214187"/>
      <w:bookmarkStart w:id="121" w:name="_Toc497292503"/>
      <w:bookmarkStart w:id="122" w:name="_Toc497809999"/>
      <w:bookmarkStart w:id="123" w:name="_Toc497810110"/>
      <w:bookmarkStart w:id="124" w:name="_Toc497826637"/>
      <w:bookmarkStart w:id="125" w:name="_Toc497985263"/>
      <w:bookmarkStart w:id="126" w:name="_Toc498680863"/>
      <w:bookmarkStart w:id="127" w:name="_Toc498681736"/>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2</w:t>
      </w:r>
      <w:r w:rsidRPr="00B527D0">
        <w:rPr>
          <w:rFonts w:cs="Arial"/>
        </w:rPr>
        <w:fldChar w:fldCharType="end"/>
      </w:r>
      <w:r w:rsidRPr="00B527D0">
        <w:rPr>
          <w:rFonts w:cs="Arial"/>
        </w:rPr>
        <w:tab/>
        <w:t>Aperiodic CSI feedback m</w:t>
      </w:r>
      <w:r w:rsidRPr="00B527D0">
        <w:rPr>
          <w:rFonts w:cs="Arial"/>
          <w:lang w:val="en-US"/>
        </w:rPr>
        <w:t xml:space="preserve">odes 2-0 and 2-2 are not supported for </w:t>
      </w:r>
      <w:r w:rsidR="005125E6">
        <w:rPr>
          <w:rFonts w:cs="Arial"/>
          <w:lang w:val="en-US"/>
        </w:rPr>
        <w:t>sTTI</w:t>
      </w:r>
      <w:bookmarkEnd w:id="116"/>
      <w:bookmarkEnd w:id="117"/>
      <w:bookmarkEnd w:id="118"/>
      <w:bookmarkEnd w:id="119"/>
      <w:bookmarkEnd w:id="120"/>
      <w:bookmarkEnd w:id="121"/>
      <w:bookmarkEnd w:id="122"/>
      <w:bookmarkEnd w:id="123"/>
      <w:bookmarkEnd w:id="124"/>
      <w:bookmarkEnd w:id="125"/>
      <w:bookmarkEnd w:id="126"/>
      <w:bookmarkEnd w:id="127"/>
    </w:p>
    <w:p w14:paraId="6A350A8B" w14:textId="7CA7543D" w:rsidR="001E5574" w:rsidRPr="00B527D0" w:rsidRDefault="001E5574" w:rsidP="001E5574">
      <w:pPr>
        <w:rPr>
          <w:rFonts w:cs="Arial"/>
          <w:lang w:val="en-US"/>
        </w:rPr>
      </w:pPr>
      <w:r w:rsidRPr="00B527D0">
        <w:rPr>
          <w:rFonts w:cs="Arial"/>
        </w:rPr>
        <w:t xml:space="preserve">CQI feedback needs between 4 to 8 bits depending on the number of transmitted codeword. On top of that, subband differential CQI requires two bits per subband. Given the lower payload in sPUSCH, to reduce the CQI reporting size differential CQI also for wideband CQI could be used, anchoring the measurement to e.g. a full </w:t>
      </w:r>
      <w:r w:rsidRPr="00B527D0">
        <w:rPr>
          <w:rFonts w:cs="Arial"/>
          <w:lang w:val="en-US"/>
        </w:rPr>
        <w:t>(</w:t>
      </w:r>
      <w:r w:rsidR="00983F9C" w:rsidRPr="00B527D0">
        <w:rPr>
          <w:rFonts w:cs="Arial"/>
          <w:lang w:val="en-US"/>
        </w:rPr>
        <w:t>non- differential</w:t>
      </w:r>
      <w:r w:rsidRPr="00B527D0">
        <w:rPr>
          <w:rFonts w:cs="Arial"/>
          <w:lang w:val="en-US"/>
        </w:rPr>
        <w:t xml:space="preserve">) measurement every </w:t>
      </w:r>
      <w:r w:rsidRPr="00B527D0">
        <w:rPr>
          <w:rFonts w:cs="Arial"/>
          <w:i/>
          <w:lang w:val="en-US"/>
        </w:rPr>
        <w:t>x</w:t>
      </w:r>
      <w:r w:rsidRPr="00B527D0">
        <w:rPr>
          <w:rFonts w:cs="Arial"/>
          <w:lang w:val="en-US"/>
        </w:rPr>
        <w:t xml:space="preserve"> ms. </w:t>
      </w:r>
    </w:p>
    <w:p w14:paraId="37B771A8" w14:textId="2777C71F" w:rsidR="001E5574" w:rsidRPr="00B3413B" w:rsidRDefault="001E5574" w:rsidP="00B3413B">
      <w:pPr>
        <w:pStyle w:val="Observation"/>
      </w:pPr>
      <w:bookmarkStart w:id="128" w:name="_Toc497117061"/>
      <w:bookmarkStart w:id="129" w:name="_Toc497117078"/>
      <w:bookmarkStart w:id="130" w:name="_Toc497214006"/>
      <w:bookmarkStart w:id="131" w:name="_Toc497214101"/>
      <w:bookmarkStart w:id="132" w:name="_Toc497214175"/>
      <w:bookmarkStart w:id="133" w:name="_Toc497292491"/>
      <w:bookmarkStart w:id="134" w:name="_Toc497809989"/>
      <w:bookmarkStart w:id="135" w:name="_Toc497810104"/>
      <w:bookmarkStart w:id="136" w:name="_Toc497826631"/>
      <w:bookmarkStart w:id="137" w:name="_Toc497985256"/>
      <w:bookmarkStart w:id="138" w:name="_Toc498680857"/>
      <w:bookmarkStart w:id="139" w:name="_Toc498681730"/>
      <w:r w:rsidRPr="00B3413B">
        <w:t>Differential CQI feedback on sPUSCH could be beneficial from the payload point of view</w:t>
      </w:r>
      <w:bookmarkEnd w:id="128"/>
      <w:bookmarkEnd w:id="129"/>
      <w:bookmarkEnd w:id="130"/>
      <w:bookmarkEnd w:id="131"/>
      <w:bookmarkEnd w:id="132"/>
      <w:bookmarkEnd w:id="133"/>
      <w:bookmarkEnd w:id="134"/>
      <w:bookmarkEnd w:id="135"/>
      <w:bookmarkEnd w:id="136"/>
      <w:bookmarkEnd w:id="137"/>
      <w:bookmarkEnd w:id="138"/>
      <w:bookmarkEnd w:id="139"/>
    </w:p>
    <w:p w14:paraId="45BD0ADC" w14:textId="2D6F24D4" w:rsidR="009A43EA" w:rsidRPr="00B527D0" w:rsidRDefault="009A43EA" w:rsidP="00E22DD5">
      <w:pPr>
        <w:pStyle w:val="Heading3"/>
        <w:rPr>
          <w:lang w:val="en-US"/>
        </w:rPr>
      </w:pPr>
      <w:bookmarkStart w:id="140" w:name="_Toc473290058"/>
      <w:bookmarkStart w:id="141" w:name="_Toc473290095"/>
      <w:bookmarkStart w:id="142" w:name="_Toc473290108"/>
      <w:bookmarkStart w:id="143" w:name="_Toc473293427"/>
      <w:bookmarkEnd w:id="71"/>
      <w:bookmarkEnd w:id="72"/>
      <w:bookmarkEnd w:id="73"/>
      <w:bookmarkEnd w:id="74"/>
      <w:bookmarkEnd w:id="75"/>
      <w:bookmarkEnd w:id="76"/>
      <w:bookmarkEnd w:id="77"/>
      <w:bookmarkEnd w:id="78"/>
      <w:r w:rsidRPr="00B527D0">
        <w:rPr>
          <w:lang w:val="en-US"/>
        </w:rPr>
        <w:t>Subband reporting considerations</w:t>
      </w:r>
    </w:p>
    <w:p w14:paraId="01FCAEE7" w14:textId="2444EC46" w:rsidR="009A43EA" w:rsidRPr="00B527D0" w:rsidRDefault="009A43EA" w:rsidP="00B84E17">
      <w:pPr>
        <w:rPr>
          <w:b/>
        </w:rPr>
      </w:pPr>
      <w:bookmarkStart w:id="144" w:name="_Toc496793821"/>
      <w:bookmarkStart w:id="145" w:name="_Toc496793977"/>
      <w:bookmarkStart w:id="146" w:name="_Toc496796002"/>
      <w:bookmarkStart w:id="147" w:name="_Toc497117064"/>
      <w:bookmarkStart w:id="148" w:name="_Toc497117081"/>
      <w:bookmarkStart w:id="149" w:name="_Toc497214009"/>
      <w:bookmarkStart w:id="150" w:name="_Toc497214104"/>
      <w:bookmarkStart w:id="151" w:name="_Toc497214178"/>
      <w:bookmarkStart w:id="152" w:name="_Toc497292494"/>
      <w:bookmarkStart w:id="153" w:name="_Toc497809990"/>
      <w:r w:rsidRPr="00B527D0">
        <w:t>CQI and / or PMI/RI can we reported in either wideband or frequency selective reports. The subband size is specified</w:t>
      </w:r>
      <w:r w:rsidR="00711EF1" w:rsidRPr="00B527D0">
        <w:t xml:space="preserve"> in </w:t>
      </w:r>
      <w:r w:rsidR="00711EF1" w:rsidRPr="00B3413B">
        <w:fldChar w:fldCharType="begin"/>
      </w:r>
      <w:r w:rsidR="00711EF1" w:rsidRPr="00B3413B">
        <w:instrText xml:space="preserve"> REF _Ref496793471 \n \h </w:instrText>
      </w:r>
      <w:r w:rsidR="00B527D0" w:rsidRPr="00B3413B">
        <w:instrText xml:space="preserve"> \* MERGEFORMAT </w:instrText>
      </w:r>
      <w:r w:rsidR="00711EF1" w:rsidRPr="00B3413B">
        <w:fldChar w:fldCharType="separate"/>
      </w:r>
      <w:r w:rsidR="00D61808" w:rsidRPr="00B3413B">
        <w:t>[12]</w:t>
      </w:r>
      <w:r w:rsidR="00711EF1" w:rsidRPr="00B3413B">
        <w:fldChar w:fldCharType="end"/>
      </w:r>
      <w:r w:rsidR="00711EF1" w:rsidRPr="00B527D0">
        <w:t xml:space="preserve"> secti</w:t>
      </w:r>
      <w:bookmarkStart w:id="154" w:name="_GoBack"/>
      <w:bookmarkEnd w:id="154"/>
      <w:r w:rsidR="00711EF1" w:rsidRPr="00B527D0">
        <w:t>on 7 in tables 7.2.1-3 and 7.2.1-5 for reporting mode 3-x and 2-x, respectively.</w:t>
      </w:r>
      <w:bookmarkEnd w:id="144"/>
      <w:bookmarkEnd w:id="145"/>
      <w:bookmarkEnd w:id="146"/>
      <w:bookmarkEnd w:id="147"/>
      <w:bookmarkEnd w:id="148"/>
      <w:bookmarkEnd w:id="149"/>
      <w:bookmarkEnd w:id="150"/>
      <w:bookmarkEnd w:id="151"/>
      <w:bookmarkEnd w:id="152"/>
      <w:bookmarkEnd w:id="153"/>
      <w:r w:rsidR="00711EF1" w:rsidRPr="00B527D0">
        <w:t xml:space="preserve"> </w:t>
      </w:r>
    </w:p>
    <w:p w14:paraId="3D18F92F" w14:textId="77CE82AF" w:rsidR="005607AE" w:rsidRDefault="005607AE" w:rsidP="00B84E17">
      <w:bookmarkStart w:id="155" w:name="_Toc497214010"/>
      <w:bookmarkStart w:id="156" w:name="_Toc497214105"/>
      <w:bookmarkStart w:id="157" w:name="_Toc497214179"/>
      <w:bookmarkStart w:id="158" w:name="_Toc497292495"/>
      <w:bookmarkStart w:id="159" w:name="_Toc497809991"/>
      <w:bookmarkStart w:id="160" w:name="_Toc496793822"/>
      <w:bookmarkStart w:id="161" w:name="_Toc496793978"/>
      <w:bookmarkStart w:id="162" w:name="_Toc496796003"/>
      <w:bookmarkStart w:id="163" w:name="_Toc497117065"/>
      <w:bookmarkStart w:id="164" w:name="_Toc497117082"/>
      <w:r w:rsidRPr="00B527D0">
        <w:t xml:space="preserve">The following </w:t>
      </w:r>
      <w:r w:rsidR="00380C5F" w:rsidRPr="00B527D0">
        <w:t>agreements</w:t>
      </w:r>
      <w:r w:rsidRPr="00B527D0">
        <w:t xml:space="preserve"> was reached in RAN1#90b:</w:t>
      </w:r>
      <w:bookmarkEnd w:id="155"/>
      <w:bookmarkEnd w:id="156"/>
      <w:bookmarkEnd w:id="157"/>
      <w:bookmarkEnd w:id="158"/>
      <w:bookmarkEnd w:id="159"/>
    </w:p>
    <w:tbl>
      <w:tblPr>
        <w:tblStyle w:val="TableGrid"/>
        <w:tblW w:w="0" w:type="auto"/>
        <w:tblLook w:val="04A0" w:firstRow="1" w:lastRow="0" w:firstColumn="1" w:lastColumn="0" w:noHBand="0" w:noVBand="1"/>
      </w:tblPr>
      <w:tblGrid>
        <w:gridCol w:w="9629"/>
      </w:tblGrid>
      <w:tr w:rsidR="00E0054D" w14:paraId="7009A0CF" w14:textId="77777777" w:rsidTr="00E0054D">
        <w:tc>
          <w:tcPr>
            <w:tcW w:w="9629" w:type="dxa"/>
          </w:tcPr>
          <w:p w14:paraId="729A859D" w14:textId="77777777" w:rsidR="00E0054D" w:rsidRPr="00B527D0" w:rsidRDefault="00E0054D" w:rsidP="00E0054D">
            <w:pPr>
              <w:rPr>
                <w:iCs/>
              </w:rPr>
            </w:pPr>
            <w:r w:rsidRPr="00B527D0">
              <w:rPr>
                <w:iCs/>
                <w:highlight w:val="green"/>
              </w:rPr>
              <w:t>Agreement:</w:t>
            </w:r>
          </w:p>
          <w:p w14:paraId="2D04B9F8" w14:textId="77777777" w:rsidR="00E0054D" w:rsidRPr="00B527D0" w:rsidRDefault="00E0054D" w:rsidP="00E0054D">
            <w:pPr>
              <w:rPr>
                <w:iCs/>
              </w:rPr>
            </w:pPr>
            <w:r w:rsidRPr="00B527D0">
              <w:rPr>
                <w:iCs/>
              </w:rPr>
              <w:t xml:space="preserve">The sRBG size for resource allocation type 0 is defined as per below table for both 2/3os and 7os </w:t>
            </w:r>
            <w:r>
              <w:rPr>
                <w:iCs/>
              </w:rPr>
              <w:t>sTTI</w:t>
            </w:r>
            <w:r w:rsidRPr="00B527D0">
              <w:rPr>
                <w:iCs/>
              </w:rPr>
              <w:t xml:space="preserve"> using an sPRG size of 2:</w:t>
            </w:r>
          </w:p>
          <w:p w14:paraId="295F2228" w14:textId="1CF37B57" w:rsidR="00E0054D" w:rsidRPr="00B527D0" w:rsidRDefault="00E0054D" w:rsidP="00E0054D">
            <w:pPr>
              <w:pStyle w:val="Caption"/>
              <w:keepNext/>
              <w:rPr>
                <w:rFonts w:cs="Arial"/>
              </w:rPr>
            </w:pPr>
            <w:r w:rsidRPr="00B527D0">
              <w:rPr>
                <w:rFonts w:cs="Arial"/>
              </w:rPr>
              <w:t xml:space="preserve">Table </w:t>
            </w:r>
            <w:r w:rsidRPr="00B527D0">
              <w:rPr>
                <w:rFonts w:cs="Arial"/>
              </w:rPr>
              <w:fldChar w:fldCharType="begin"/>
            </w:r>
            <w:r w:rsidRPr="00B527D0">
              <w:rPr>
                <w:rFonts w:cs="Arial"/>
              </w:rPr>
              <w:instrText xml:space="preserve"> SEQ Table \* ARABIC </w:instrText>
            </w:r>
            <w:r w:rsidRPr="00B527D0">
              <w:rPr>
                <w:rFonts w:cs="Arial"/>
              </w:rPr>
              <w:fldChar w:fldCharType="separate"/>
            </w:r>
            <w:r w:rsidR="00D61808">
              <w:rPr>
                <w:rFonts w:cs="Arial"/>
                <w:noProof/>
              </w:rPr>
              <w:t>1</w:t>
            </w:r>
            <w:r w:rsidRPr="00B527D0">
              <w:rPr>
                <w:rFonts w:cs="Arial"/>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E0054D" w:rsidRPr="00B527D0" w14:paraId="0055BAB6" w14:textId="77777777" w:rsidTr="00EB6900">
              <w:trPr>
                <w:jc w:val="center"/>
              </w:trPr>
              <w:tc>
                <w:tcPr>
                  <w:tcW w:w="872" w:type="dxa"/>
                  <w:shd w:val="clear" w:color="auto" w:fill="D9E2F3"/>
                </w:tcPr>
                <w:p w14:paraId="41AE21D0" w14:textId="77777777" w:rsidR="00E0054D" w:rsidRPr="00B527D0" w:rsidRDefault="00E0054D" w:rsidP="00E0054D">
                  <w:pPr>
                    <w:jc w:val="center"/>
                    <w:rPr>
                      <w:rFonts w:cs="Arial"/>
                      <w:b/>
                      <w:iCs/>
                      <w:sz w:val="14"/>
                    </w:rPr>
                  </w:pPr>
                  <w:r w:rsidRPr="00B527D0">
                    <w:rPr>
                      <w:rFonts w:cs="Arial"/>
                      <w:b/>
                      <w:iCs/>
                      <w:sz w:val="14"/>
                    </w:rPr>
                    <w:t>5 MHz</w:t>
                  </w:r>
                </w:p>
              </w:tc>
              <w:tc>
                <w:tcPr>
                  <w:tcW w:w="963" w:type="dxa"/>
                  <w:shd w:val="clear" w:color="auto" w:fill="D9E2F3"/>
                </w:tcPr>
                <w:p w14:paraId="5053F4C4" w14:textId="77777777" w:rsidR="00E0054D" w:rsidRPr="00B527D0" w:rsidRDefault="00E0054D" w:rsidP="00E0054D">
                  <w:pPr>
                    <w:jc w:val="center"/>
                    <w:rPr>
                      <w:rFonts w:cs="Arial"/>
                      <w:b/>
                      <w:iCs/>
                      <w:sz w:val="14"/>
                    </w:rPr>
                  </w:pPr>
                  <w:r w:rsidRPr="00B527D0">
                    <w:rPr>
                      <w:rFonts w:cs="Arial"/>
                      <w:b/>
                      <w:iCs/>
                      <w:sz w:val="14"/>
                    </w:rPr>
                    <w:t>10 MHz</w:t>
                  </w:r>
                </w:p>
              </w:tc>
              <w:tc>
                <w:tcPr>
                  <w:tcW w:w="819" w:type="dxa"/>
                  <w:shd w:val="clear" w:color="auto" w:fill="D9E2F3"/>
                </w:tcPr>
                <w:p w14:paraId="3FE1D2A1" w14:textId="77777777" w:rsidR="00E0054D" w:rsidRPr="00B527D0" w:rsidRDefault="00E0054D" w:rsidP="00E0054D">
                  <w:pPr>
                    <w:jc w:val="center"/>
                    <w:rPr>
                      <w:rFonts w:cs="Arial"/>
                      <w:b/>
                      <w:iCs/>
                      <w:sz w:val="14"/>
                    </w:rPr>
                  </w:pPr>
                  <w:r w:rsidRPr="00B527D0">
                    <w:rPr>
                      <w:rFonts w:cs="Arial"/>
                      <w:b/>
                      <w:iCs/>
                      <w:sz w:val="14"/>
                    </w:rPr>
                    <w:t>15 MHz</w:t>
                  </w:r>
                </w:p>
              </w:tc>
              <w:tc>
                <w:tcPr>
                  <w:tcW w:w="963" w:type="dxa"/>
                  <w:shd w:val="clear" w:color="auto" w:fill="D9E2F3"/>
                </w:tcPr>
                <w:p w14:paraId="555A32A5" w14:textId="77777777" w:rsidR="00E0054D" w:rsidRPr="00B527D0" w:rsidRDefault="00E0054D" w:rsidP="00E0054D">
                  <w:pPr>
                    <w:jc w:val="center"/>
                    <w:rPr>
                      <w:rFonts w:cs="Arial"/>
                      <w:b/>
                      <w:iCs/>
                      <w:sz w:val="14"/>
                    </w:rPr>
                  </w:pPr>
                  <w:r w:rsidRPr="00B527D0">
                    <w:rPr>
                      <w:rFonts w:cs="Arial"/>
                      <w:b/>
                      <w:iCs/>
                      <w:sz w:val="14"/>
                    </w:rPr>
                    <w:t>20 MHz</w:t>
                  </w:r>
                </w:p>
              </w:tc>
            </w:tr>
            <w:tr w:rsidR="00E0054D" w:rsidRPr="00B527D0" w14:paraId="067A3B02" w14:textId="77777777" w:rsidTr="00EB6900">
              <w:trPr>
                <w:jc w:val="center"/>
              </w:trPr>
              <w:tc>
                <w:tcPr>
                  <w:tcW w:w="872" w:type="dxa"/>
                  <w:shd w:val="clear" w:color="auto" w:fill="auto"/>
                </w:tcPr>
                <w:p w14:paraId="73E898A1" w14:textId="77777777" w:rsidR="00E0054D" w:rsidRPr="00B527D0" w:rsidRDefault="00E0054D" w:rsidP="00E0054D">
                  <w:pPr>
                    <w:jc w:val="center"/>
                    <w:rPr>
                      <w:rFonts w:cs="Arial"/>
                      <w:iCs/>
                      <w:sz w:val="14"/>
                      <w:lang w:val="sv-SE"/>
                    </w:rPr>
                  </w:pPr>
                  <w:r w:rsidRPr="00B527D0">
                    <w:rPr>
                      <w:rFonts w:cs="Arial"/>
                      <w:iCs/>
                      <w:sz w:val="14"/>
                      <w:lang w:val="sv-SE"/>
                    </w:rPr>
                    <w:t>6</w:t>
                  </w:r>
                </w:p>
              </w:tc>
              <w:tc>
                <w:tcPr>
                  <w:tcW w:w="963" w:type="dxa"/>
                  <w:shd w:val="clear" w:color="auto" w:fill="auto"/>
                </w:tcPr>
                <w:p w14:paraId="3D344164" w14:textId="77777777" w:rsidR="00E0054D" w:rsidRPr="00B527D0" w:rsidRDefault="00E0054D" w:rsidP="00E0054D">
                  <w:pPr>
                    <w:jc w:val="center"/>
                    <w:rPr>
                      <w:rFonts w:cs="Arial"/>
                      <w:iCs/>
                      <w:sz w:val="14"/>
                      <w:lang w:val="sv-SE"/>
                    </w:rPr>
                  </w:pPr>
                  <w:r w:rsidRPr="00B527D0">
                    <w:rPr>
                      <w:rFonts w:cs="Arial"/>
                      <w:iCs/>
                      <w:sz w:val="14"/>
                      <w:lang w:val="sv-SE"/>
                    </w:rPr>
                    <w:t>6</w:t>
                  </w:r>
                </w:p>
              </w:tc>
              <w:tc>
                <w:tcPr>
                  <w:tcW w:w="819" w:type="dxa"/>
                  <w:shd w:val="clear" w:color="auto" w:fill="auto"/>
                </w:tcPr>
                <w:p w14:paraId="18BD6695" w14:textId="77777777" w:rsidR="00E0054D" w:rsidRPr="00B527D0" w:rsidRDefault="00E0054D" w:rsidP="00E0054D">
                  <w:pPr>
                    <w:jc w:val="center"/>
                    <w:rPr>
                      <w:rFonts w:cs="Arial"/>
                      <w:iCs/>
                      <w:sz w:val="14"/>
                      <w:lang w:val="sv-SE"/>
                    </w:rPr>
                  </w:pPr>
                  <w:r w:rsidRPr="00B527D0">
                    <w:rPr>
                      <w:rFonts w:cs="Arial"/>
                      <w:iCs/>
                      <w:sz w:val="14"/>
                      <w:lang w:val="sv-SE"/>
                    </w:rPr>
                    <w:t>12</w:t>
                  </w:r>
                </w:p>
              </w:tc>
              <w:tc>
                <w:tcPr>
                  <w:tcW w:w="963" w:type="dxa"/>
                  <w:shd w:val="clear" w:color="auto" w:fill="auto"/>
                </w:tcPr>
                <w:p w14:paraId="35152005" w14:textId="77777777" w:rsidR="00E0054D" w:rsidRPr="00B527D0" w:rsidRDefault="00E0054D" w:rsidP="00E0054D">
                  <w:pPr>
                    <w:jc w:val="center"/>
                    <w:rPr>
                      <w:rFonts w:cs="Arial"/>
                      <w:iCs/>
                      <w:sz w:val="14"/>
                      <w:lang w:val="sv-SE"/>
                    </w:rPr>
                  </w:pPr>
                  <w:r w:rsidRPr="00B527D0">
                    <w:rPr>
                      <w:rFonts w:cs="Arial"/>
                      <w:iCs/>
                      <w:sz w:val="14"/>
                      <w:lang w:val="sv-SE"/>
                    </w:rPr>
                    <w:t>12</w:t>
                  </w:r>
                </w:p>
              </w:tc>
            </w:tr>
          </w:tbl>
          <w:p w14:paraId="2263F70E" w14:textId="77777777" w:rsidR="00E0054D" w:rsidRDefault="00E0054D" w:rsidP="00B84E17">
            <w:pPr>
              <w:rPr>
                <w:b/>
              </w:rPr>
            </w:pPr>
          </w:p>
        </w:tc>
      </w:tr>
    </w:tbl>
    <w:p w14:paraId="449B1FFF" w14:textId="6A08D075" w:rsidR="002C3715" w:rsidRDefault="00380C5F" w:rsidP="00B84E17">
      <w:bookmarkStart w:id="165" w:name="_Toc497214012"/>
      <w:bookmarkStart w:id="166" w:name="_Toc497214107"/>
      <w:bookmarkStart w:id="167" w:name="_Toc497214181"/>
      <w:bookmarkStart w:id="168" w:name="_Toc497292497"/>
      <w:bookmarkStart w:id="169" w:name="_Toc497809993"/>
      <w:bookmarkEnd w:id="160"/>
      <w:bookmarkEnd w:id="161"/>
      <w:bookmarkEnd w:id="162"/>
      <w:bookmarkEnd w:id="163"/>
      <w:bookmarkEnd w:id="164"/>
      <w:r w:rsidRPr="00B527D0">
        <w:t>Subband</w:t>
      </w:r>
      <w:r w:rsidR="002C3715" w:rsidRPr="00B527D0">
        <w:t xml:space="preserve"> allocation is depend</w:t>
      </w:r>
      <w:r w:rsidR="00EB6900">
        <w:t>e</w:t>
      </w:r>
      <w:r w:rsidR="002C3715" w:rsidRPr="00B527D0">
        <w:t xml:space="preserve">nt of the reporting mode. Type 0 </w:t>
      </w:r>
      <w:r w:rsidRPr="00B527D0">
        <w:t>resource</w:t>
      </w:r>
      <w:r w:rsidR="002C3715" w:rsidRPr="00B527D0">
        <w:t xml:space="preserve"> allocation subband size is given in </w:t>
      </w:r>
      <w:r w:rsidR="005E696B">
        <w:fldChar w:fldCharType="begin"/>
      </w:r>
      <w:r w:rsidR="005E696B">
        <w:instrText xml:space="preserve"> REF _Ref497828349 \h </w:instrText>
      </w:r>
      <w:r w:rsidR="005E696B">
        <w:fldChar w:fldCharType="separate"/>
      </w:r>
      <w:r w:rsidR="00D61808" w:rsidRPr="00B527D0">
        <w:rPr>
          <w:rFonts w:cs="Arial"/>
        </w:rPr>
        <w:t xml:space="preserve">Table </w:t>
      </w:r>
      <w:r w:rsidR="00D61808">
        <w:rPr>
          <w:rFonts w:cs="Arial"/>
          <w:noProof/>
        </w:rPr>
        <w:t>2</w:t>
      </w:r>
      <w:r w:rsidR="005E696B">
        <w:fldChar w:fldCharType="end"/>
      </w:r>
      <w:r w:rsidR="002C3715" w:rsidRPr="00B527D0">
        <w:t xml:space="preserve">, along with the proposed </w:t>
      </w:r>
      <w:r w:rsidR="005125E6">
        <w:t>sTTI</w:t>
      </w:r>
      <w:r w:rsidR="002C3715" w:rsidRPr="00B527D0">
        <w:t xml:space="preserve"> subband sizes for 2/3os.</w:t>
      </w:r>
      <w:bookmarkEnd w:id="165"/>
      <w:bookmarkEnd w:id="166"/>
      <w:bookmarkEnd w:id="167"/>
      <w:bookmarkEnd w:id="168"/>
      <w:bookmarkEnd w:id="169"/>
      <w:r w:rsidR="002C3715" w:rsidRPr="00B527D0">
        <w:t xml:space="preserve"> </w:t>
      </w:r>
    </w:p>
    <w:p w14:paraId="4576F52B" w14:textId="77777777" w:rsidR="00E0054D" w:rsidRPr="00B527D0" w:rsidRDefault="00E0054D" w:rsidP="00B84E17">
      <w:pPr>
        <w:rPr>
          <w:b/>
        </w:rPr>
      </w:pPr>
    </w:p>
    <w:p w14:paraId="7FC518E1" w14:textId="57EC5044" w:rsidR="002549D5" w:rsidRPr="00B527D0" w:rsidRDefault="002549D5" w:rsidP="002549D5">
      <w:pPr>
        <w:pStyle w:val="Caption"/>
        <w:keepNext/>
        <w:rPr>
          <w:rFonts w:cs="Arial"/>
        </w:rPr>
      </w:pPr>
      <w:bookmarkStart w:id="170" w:name="_Ref497828349"/>
      <w:r w:rsidRPr="00B527D0">
        <w:rPr>
          <w:rFonts w:cs="Arial"/>
        </w:rPr>
        <w:lastRenderedPageBreak/>
        <w:t xml:space="preserve">Table </w:t>
      </w:r>
      <w:r w:rsidRPr="00B527D0">
        <w:rPr>
          <w:rFonts w:cs="Arial"/>
        </w:rPr>
        <w:fldChar w:fldCharType="begin"/>
      </w:r>
      <w:r w:rsidRPr="00B527D0">
        <w:rPr>
          <w:rFonts w:cs="Arial"/>
        </w:rPr>
        <w:instrText xml:space="preserve"> SEQ Table \* ARABIC </w:instrText>
      </w:r>
      <w:r w:rsidRPr="00B527D0">
        <w:rPr>
          <w:rFonts w:cs="Arial"/>
        </w:rPr>
        <w:fldChar w:fldCharType="separate"/>
      </w:r>
      <w:r w:rsidR="00D61808">
        <w:rPr>
          <w:rFonts w:cs="Arial"/>
          <w:noProof/>
        </w:rPr>
        <w:t>2</w:t>
      </w:r>
      <w:r w:rsidRPr="00B527D0">
        <w:rPr>
          <w:rFonts w:cs="Arial"/>
        </w:rPr>
        <w:fldChar w:fldCharType="end"/>
      </w:r>
      <w:bookmarkEnd w:id="170"/>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993"/>
        <w:gridCol w:w="851"/>
        <w:gridCol w:w="850"/>
        <w:gridCol w:w="1276"/>
        <w:gridCol w:w="1417"/>
        <w:gridCol w:w="1418"/>
        <w:gridCol w:w="1417"/>
      </w:tblGrid>
      <w:tr w:rsidR="002C3715" w:rsidRPr="00C21D9C" w14:paraId="0600903A" w14:textId="77777777" w:rsidTr="00E22DD5">
        <w:trPr>
          <w:cantSplit/>
          <w:jc w:val="center"/>
        </w:trPr>
        <w:tc>
          <w:tcPr>
            <w:tcW w:w="1696" w:type="dxa"/>
            <w:tcBorders>
              <w:top w:val="single" w:sz="4" w:space="0" w:color="auto"/>
              <w:left w:val="single" w:sz="4" w:space="0" w:color="auto"/>
              <w:bottom w:val="single" w:sz="4" w:space="0" w:color="FFFFFF"/>
              <w:right w:val="single" w:sz="4" w:space="0" w:color="auto"/>
            </w:tcBorders>
            <w:shd w:val="clear" w:color="auto" w:fill="E0E0E0"/>
            <w:vAlign w:val="center"/>
            <w:hideMark/>
          </w:tcPr>
          <w:p w14:paraId="034C5F30" w14:textId="77777777" w:rsidR="002C3715" w:rsidRPr="00B527D0" w:rsidRDefault="002C3715" w:rsidP="00E22DD5">
            <w:pPr>
              <w:pStyle w:val="TAH"/>
              <w:rPr>
                <w:rFonts w:cs="Arial"/>
                <w:sz w:val="14"/>
              </w:rPr>
            </w:pPr>
            <w:bookmarkStart w:id="171" w:name="_Hlk497225913"/>
            <w:r w:rsidRPr="00B527D0">
              <w:rPr>
                <w:rFonts w:cs="Arial"/>
                <w:sz w:val="14"/>
              </w:rPr>
              <w:t>System Bandwidth</w:t>
            </w:r>
          </w:p>
        </w:tc>
        <w:tc>
          <w:tcPr>
            <w:tcW w:w="993" w:type="dxa"/>
            <w:tcBorders>
              <w:top w:val="single" w:sz="4" w:space="0" w:color="auto"/>
              <w:left w:val="single" w:sz="4" w:space="0" w:color="auto"/>
              <w:bottom w:val="single" w:sz="4" w:space="0" w:color="FFFFFF"/>
              <w:right w:val="single" w:sz="4" w:space="0" w:color="auto"/>
            </w:tcBorders>
            <w:shd w:val="clear" w:color="auto" w:fill="E0E0E0"/>
          </w:tcPr>
          <w:p w14:paraId="23EC6EE2" w14:textId="55FBCED6" w:rsidR="002C3715" w:rsidRPr="00B527D0" w:rsidRDefault="002C3715" w:rsidP="00E22DD5">
            <w:pPr>
              <w:pStyle w:val="TAH"/>
              <w:rPr>
                <w:rFonts w:cs="Arial"/>
                <w:sz w:val="14"/>
              </w:rPr>
            </w:pPr>
            <w:r w:rsidRPr="00B527D0">
              <w:rPr>
                <w:rFonts w:cs="Arial"/>
                <w:sz w:val="14"/>
              </w:rPr>
              <w:t xml:space="preserve">Concerned </w:t>
            </w:r>
            <w:r w:rsidR="005125E6">
              <w:rPr>
                <w:rFonts w:cs="Arial"/>
                <w:sz w:val="14"/>
              </w:rPr>
              <w:t>STTI</w:t>
            </w:r>
            <w:r w:rsidRPr="00B527D0">
              <w:rPr>
                <w:rFonts w:cs="Arial"/>
                <w:sz w:val="14"/>
              </w:rPr>
              <w:t xml:space="preserve"> bandwidth </w:t>
            </w:r>
          </w:p>
        </w:tc>
        <w:tc>
          <w:tcPr>
            <w:tcW w:w="851" w:type="dxa"/>
            <w:tcBorders>
              <w:top w:val="single" w:sz="4" w:space="0" w:color="auto"/>
              <w:left w:val="single" w:sz="4" w:space="0" w:color="auto"/>
              <w:bottom w:val="single" w:sz="4" w:space="0" w:color="FFFFFF"/>
              <w:right w:val="single" w:sz="4" w:space="0" w:color="auto"/>
            </w:tcBorders>
            <w:shd w:val="clear" w:color="auto" w:fill="E0E0E0"/>
          </w:tcPr>
          <w:p w14:paraId="4066A1A8" w14:textId="77777777" w:rsidR="002C3715" w:rsidRPr="00B527D0" w:rsidRDefault="002C3715" w:rsidP="00E22DD5">
            <w:pPr>
              <w:pStyle w:val="TAH"/>
              <w:rPr>
                <w:rFonts w:cs="Arial"/>
                <w:sz w:val="14"/>
              </w:rPr>
            </w:pPr>
            <w:r w:rsidRPr="00B527D0">
              <w:rPr>
                <w:rFonts w:cs="Arial"/>
                <w:sz w:val="14"/>
              </w:rPr>
              <w:t>RBG size</w:t>
            </w:r>
          </w:p>
          <w:p w14:paraId="3C547470" w14:textId="77777777" w:rsidR="002C3715" w:rsidRPr="00B527D0" w:rsidRDefault="002C3715" w:rsidP="00E22DD5">
            <w:pPr>
              <w:pStyle w:val="TAH"/>
              <w:rPr>
                <w:rFonts w:cs="Arial"/>
                <w:sz w:val="14"/>
              </w:rPr>
            </w:pPr>
            <w:r w:rsidRPr="00B527D0">
              <w:rPr>
                <w:rFonts w:cs="Arial"/>
                <w:sz w:val="14"/>
              </w:rPr>
              <w:t>Type 0</w:t>
            </w:r>
          </w:p>
        </w:tc>
        <w:tc>
          <w:tcPr>
            <w:tcW w:w="850" w:type="dxa"/>
            <w:tcBorders>
              <w:top w:val="single" w:sz="4" w:space="0" w:color="auto"/>
              <w:left w:val="single" w:sz="4" w:space="0" w:color="auto"/>
              <w:bottom w:val="single" w:sz="4" w:space="0" w:color="FFFFFF"/>
              <w:right w:val="single" w:sz="4" w:space="0" w:color="auto"/>
            </w:tcBorders>
            <w:shd w:val="clear" w:color="auto" w:fill="E0E0E0"/>
          </w:tcPr>
          <w:p w14:paraId="0F03AE54" w14:textId="77777777" w:rsidR="002C3715" w:rsidRPr="00B527D0" w:rsidRDefault="002C3715" w:rsidP="00E22DD5">
            <w:pPr>
              <w:pStyle w:val="TAH"/>
              <w:rPr>
                <w:rFonts w:cs="Arial"/>
                <w:sz w:val="14"/>
              </w:rPr>
            </w:pPr>
            <w:r w:rsidRPr="00B527D0">
              <w:rPr>
                <w:rFonts w:cs="Arial"/>
                <w:sz w:val="14"/>
              </w:rPr>
              <w:t>sRBG size</w:t>
            </w:r>
          </w:p>
        </w:tc>
        <w:tc>
          <w:tcPr>
            <w:tcW w:w="1276" w:type="dxa"/>
            <w:tcBorders>
              <w:top w:val="single" w:sz="4" w:space="0" w:color="auto"/>
              <w:left w:val="single" w:sz="4" w:space="0" w:color="auto"/>
              <w:bottom w:val="single" w:sz="4" w:space="0" w:color="FFFFFF"/>
              <w:right w:val="single" w:sz="4" w:space="0" w:color="auto"/>
            </w:tcBorders>
            <w:shd w:val="clear" w:color="auto" w:fill="E0E0E0"/>
            <w:vAlign w:val="center"/>
          </w:tcPr>
          <w:p w14:paraId="1B43847D" w14:textId="77777777" w:rsidR="002C3715" w:rsidRPr="00B527D0" w:rsidRDefault="002C3715" w:rsidP="00E22DD5">
            <w:pPr>
              <w:pStyle w:val="TAH"/>
              <w:rPr>
                <w:rFonts w:cs="Arial"/>
                <w:sz w:val="14"/>
              </w:rPr>
            </w:pPr>
            <w:r w:rsidRPr="00B527D0">
              <w:rPr>
                <w:rFonts w:cs="Arial"/>
                <w:sz w:val="14"/>
              </w:rPr>
              <w:t>Subband Size</w:t>
            </w:r>
          </w:p>
          <w:p w14:paraId="083E7D31" w14:textId="77777777" w:rsidR="002C3715" w:rsidRPr="00B527D0" w:rsidRDefault="002C3715" w:rsidP="00E22DD5">
            <w:pPr>
              <w:pStyle w:val="TAH"/>
              <w:rPr>
                <w:rFonts w:cs="Arial"/>
                <w:sz w:val="14"/>
              </w:rPr>
            </w:pPr>
            <w:r w:rsidRPr="00B527D0">
              <w:rPr>
                <w:rFonts w:cs="Arial"/>
                <w:sz w:val="14"/>
              </w:rPr>
              <w:t>Mode 3-x</w:t>
            </w:r>
          </w:p>
          <w:p w14:paraId="605562BE" w14:textId="77777777" w:rsidR="002C3715" w:rsidRPr="00B527D0" w:rsidRDefault="002C3715" w:rsidP="00E22DD5">
            <w:pPr>
              <w:pStyle w:val="TAH"/>
              <w:rPr>
                <w:rFonts w:cs="Arial"/>
                <w:sz w:val="14"/>
              </w:rPr>
            </w:pPr>
          </w:p>
        </w:tc>
        <w:tc>
          <w:tcPr>
            <w:tcW w:w="1417" w:type="dxa"/>
            <w:tcBorders>
              <w:top w:val="single" w:sz="4" w:space="0" w:color="auto"/>
              <w:left w:val="single" w:sz="4" w:space="0" w:color="auto"/>
              <w:bottom w:val="single" w:sz="4" w:space="0" w:color="FFFFFF"/>
              <w:right w:val="single" w:sz="4" w:space="0" w:color="auto"/>
            </w:tcBorders>
            <w:shd w:val="clear" w:color="auto" w:fill="E0E0E0"/>
            <w:vAlign w:val="center"/>
          </w:tcPr>
          <w:p w14:paraId="46B9F7BA" w14:textId="77777777" w:rsidR="002C3715" w:rsidRPr="00B527D0" w:rsidRDefault="002C3715" w:rsidP="00E22DD5">
            <w:pPr>
              <w:pStyle w:val="TAH"/>
              <w:rPr>
                <w:rFonts w:cs="Arial"/>
                <w:sz w:val="14"/>
              </w:rPr>
            </w:pPr>
            <w:r w:rsidRPr="00B527D0">
              <w:rPr>
                <w:rFonts w:cs="Arial"/>
                <w:sz w:val="14"/>
              </w:rPr>
              <w:t>Subband Size</w:t>
            </w:r>
          </w:p>
          <w:p w14:paraId="67617934" w14:textId="77777777" w:rsidR="002C3715" w:rsidRPr="00B527D0" w:rsidRDefault="002C3715" w:rsidP="00E22DD5">
            <w:pPr>
              <w:pStyle w:val="TAH"/>
              <w:rPr>
                <w:rFonts w:cs="Arial"/>
                <w:sz w:val="14"/>
              </w:rPr>
            </w:pPr>
            <w:r w:rsidRPr="00B527D0">
              <w:rPr>
                <w:rFonts w:cs="Arial"/>
                <w:sz w:val="14"/>
              </w:rPr>
              <w:t>Mode 2-x</w:t>
            </w:r>
          </w:p>
        </w:tc>
        <w:tc>
          <w:tcPr>
            <w:tcW w:w="1418" w:type="dxa"/>
            <w:tcBorders>
              <w:top w:val="single" w:sz="4" w:space="0" w:color="auto"/>
              <w:left w:val="single" w:sz="4" w:space="0" w:color="auto"/>
              <w:bottom w:val="single" w:sz="4" w:space="0" w:color="FFFFFF"/>
              <w:right w:val="single" w:sz="4" w:space="0" w:color="auto"/>
            </w:tcBorders>
            <w:shd w:val="clear" w:color="auto" w:fill="E0E0E0"/>
            <w:vAlign w:val="center"/>
          </w:tcPr>
          <w:p w14:paraId="2173A98B" w14:textId="427193AB" w:rsidR="002C3715" w:rsidRPr="00B527D0" w:rsidRDefault="005125E6" w:rsidP="00E22DD5">
            <w:pPr>
              <w:pStyle w:val="TAH"/>
              <w:rPr>
                <w:rFonts w:cs="Arial"/>
                <w:sz w:val="14"/>
                <w:lang w:val="fr-FR"/>
              </w:rPr>
            </w:pPr>
            <w:r>
              <w:rPr>
                <w:rFonts w:cs="Arial"/>
                <w:sz w:val="14"/>
                <w:lang w:val="fr-FR"/>
              </w:rPr>
              <w:t>STTI</w:t>
            </w:r>
            <w:r w:rsidR="002C3715" w:rsidRPr="00B527D0">
              <w:rPr>
                <w:rFonts w:cs="Arial"/>
                <w:sz w:val="14"/>
                <w:lang w:val="fr-FR"/>
              </w:rPr>
              <w:t xml:space="preserve"> Subband Size</w:t>
            </w:r>
          </w:p>
          <w:p w14:paraId="6D3BF151" w14:textId="77777777" w:rsidR="002C3715" w:rsidRPr="00B527D0" w:rsidRDefault="002C3715" w:rsidP="00E22DD5">
            <w:pPr>
              <w:pStyle w:val="TAH"/>
              <w:rPr>
                <w:rFonts w:cs="Arial"/>
                <w:sz w:val="14"/>
                <w:lang w:val="fr-FR"/>
              </w:rPr>
            </w:pPr>
            <w:r w:rsidRPr="00B527D0">
              <w:rPr>
                <w:rFonts w:cs="Arial"/>
                <w:sz w:val="14"/>
                <w:lang w:val="fr-FR"/>
              </w:rPr>
              <w:t>Mode 3-x</w:t>
            </w:r>
          </w:p>
        </w:tc>
        <w:tc>
          <w:tcPr>
            <w:tcW w:w="1417" w:type="dxa"/>
            <w:tcBorders>
              <w:top w:val="single" w:sz="4" w:space="0" w:color="auto"/>
              <w:left w:val="single" w:sz="4" w:space="0" w:color="auto"/>
              <w:bottom w:val="single" w:sz="4" w:space="0" w:color="FFFFFF"/>
              <w:right w:val="single" w:sz="4" w:space="0" w:color="auto"/>
            </w:tcBorders>
            <w:shd w:val="clear" w:color="auto" w:fill="E0E0E0"/>
            <w:vAlign w:val="center"/>
            <w:hideMark/>
          </w:tcPr>
          <w:p w14:paraId="2FA596A1" w14:textId="623F133B" w:rsidR="002C3715" w:rsidRPr="00B527D0" w:rsidRDefault="005125E6" w:rsidP="00E22DD5">
            <w:pPr>
              <w:pStyle w:val="TAH"/>
              <w:rPr>
                <w:rFonts w:cs="Arial"/>
                <w:sz w:val="14"/>
                <w:lang w:val="fr-FR"/>
              </w:rPr>
            </w:pPr>
            <w:r>
              <w:rPr>
                <w:rFonts w:cs="Arial"/>
                <w:sz w:val="14"/>
                <w:lang w:val="fr-FR"/>
              </w:rPr>
              <w:t>STTI</w:t>
            </w:r>
            <w:r w:rsidR="002C3715" w:rsidRPr="00B527D0">
              <w:rPr>
                <w:rFonts w:cs="Arial"/>
                <w:sz w:val="14"/>
                <w:lang w:val="fr-FR"/>
              </w:rPr>
              <w:t xml:space="preserve"> Subband Size</w:t>
            </w:r>
          </w:p>
          <w:p w14:paraId="7E906F08" w14:textId="77777777" w:rsidR="002C3715" w:rsidRPr="00B527D0" w:rsidRDefault="002C3715" w:rsidP="00E22DD5">
            <w:pPr>
              <w:pStyle w:val="TAH"/>
              <w:rPr>
                <w:rFonts w:cs="Arial"/>
                <w:sz w:val="14"/>
                <w:lang w:val="fr-FR"/>
              </w:rPr>
            </w:pPr>
            <w:r w:rsidRPr="00B527D0">
              <w:rPr>
                <w:rFonts w:cs="Arial"/>
                <w:sz w:val="14"/>
                <w:lang w:val="fr-FR"/>
              </w:rPr>
              <w:t>Mode 2-x</w:t>
            </w:r>
          </w:p>
        </w:tc>
      </w:tr>
      <w:tr w:rsidR="002C3715" w:rsidRPr="00B527D0" w14:paraId="19D71020" w14:textId="77777777" w:rsidTr="00E22DD5">
        <w:trPr>
          <w:cantSplit/>
          <w:jc w:val="center"/>
        </w:trPr>
        <w:tc>
          <w:tcPr>
            <w:tcW w:w="1696" w:type="dxa"/>
            <w:tcBorders>
              <w:top w:val="single" w:sz="4" w:space="0" w:color="FFFFFF"/>
              <w:left w:val="single" w:sz="4" w:space="0" w:color="auto"/>
              <w:bottom w:val="single" w:sz="4" w:space="0" w:color="auto"/>
              <w:right w:val="single" w:sz="4" w:space="0" w:color="auto"/>
            </w:tcBorders>
            <w:shd w:val="clear" w:color="auto" w:fill="E0E0E0"/>
            <w:vAlign w:val="center"/>
            <w:hideMark/>
          </w:tcPr>
          <w:p w14:paraId="5EA9C088" w14:textId="77777777" w:rsidR="002C3715" w:rsidRPr="00B527D0" w:rsidRDefault="002C3715" w:rsidP="00E22DD5">
            <w:pPr>
              <w:pStyle w:val="TAH"/>
              <w:rPr>
                <w:rFonts w:cs="Arial"/>
                <w:sz w:val="14"/>
              </w:rPr>
            </w:pPr>
            <w:r w:rsidRPr="00B527D0">
              <w:rPr>
                <w:rFonts w:cs="Arial"/>
                <w:position w:val="-10"/>
                <w:sz w:val="14"/>
              </w:rPr>
              <w:object w:dxaOrig="450" w:dyaOrig="330" w14:anchorId="1457B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6.35pt" o:ole="">
                  <v:imagedata r:id="rId14" o:title=""/>
                </v:shape>
                <o:OLEObject Type="Embed" ProgID="Equation.3" ShapeID="_x0000_i1025" DrawAspect="Content" ObjectID="_1572440028" r:id="rId15"/>
              </w:object>
            </w:r>
          </w:p>
        </w:tc>
        <w:tc>
          <w:tcPr>
            <w:tcW w:w="993" w:type="dxa"/>
            <w:tcBorders>
              <w:top w:val="single" w:sz="4" w:space="0" w:color="FFFFFF"/>
              <w:left w:val="single" w:sz="4" w:space="0" w:color="auto"/>
              <w:bottom w:val="single" w:sz="4" w:space="0" w:color="auto"/>
              <w:right w:val="single" w:sz="4" w:space="0" w:color="auto"/>
            </w:tcBorders>
            <w:shd w:val="clear" w:color="auto" w:fill="E0E0E0"/>
          </w:tcPr>
          <w:p w14:paraId="314C1BD7" w14:textId="77777777" w:rsidR="002C3715" w:rsidRPr="00B527D0" w:rsidRDefault="002C3715" w:rsidP="00E22DD5">
            <w:pPr>
              <w:pStyle w:val="TAH"/>
              <w:rPr>
                <w:rFonts w:cs="Arial"/>
                <w:sz w:val="14"/>
              </w:rPr>
            </w:pP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4FD4D94D" w14:textId="77777777" w:rsidR="002C3715" w:rsidRPr="00B527D0" w:rsidRDefault="002C3715" w:rsidP="00E22DD5">
            <w:pPr>
              <w:pStyle w:val="TAH"/>
              <w:rPr>
                <w:rFonts w:cs="Arial"/>
                <w:sz w:val="14"/>
              </w:rPr>
            </w:pP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33A142C7" w14:textId="77777777" w:rsidR="002C3715" w:rsidRPr="00B527D0" w:rsidRDefault="002C3715" w:rsidP="00E22DD5">
            <w:pPr>
              <w:pStyle w:val="TAH"/>
              <w:rPr>
                <w:rFonts w:cs="Arial"/>
                <w:sz w:val="14"/>
              </w:rPr>
            </w:pPr>
          </w:p>
        </w:tc>
        <w:tc>
          <w:tcPr>
            <w:tcW w:w="1276" w:type="dxa"/>
            <w:tcBorders>
              <w:top w:val="single" w:sz="4" w:space="0" w:color="FFFFFF"/>
              <w:left w:val="single" w:sz="4" w:space="0" w:color="auto"/>
              <w:bottom w:val="single" w:sz="4" w:space="0" w:color="auto"/>
              <w:right w:val="single" w:sz="4" w:space="0" w:color="auto"/>
            </w:tcBorders>
            <w:shd w:val="clear" w:color="auto" w:fill="E0E0E0"/>
            <w:vAlign w:val="center"/>
          </w:tcPr>
          <w:p w14:paraId="4C8BA409" w14:textId="77777777" w:rsidR="002C3715" w:rsidRPr="00B527D0" w:rsidRDefault="002C3715" w:rsidP="00E22DD5">
            <w:pPr>
              <w:pStyle w:val="TAH"/>
              <w:rPr>
                <w:rFonts w:cs="Arial"/>
                <w:sz w:val="14"/>
              </w:rPr>
            </w:pPr>
            <w:r w:rsidRPr="00B527D0">
              <w:rPr>
                <w:rFonts w:cs="Arial"/>
                <w:sz w:val="14"/>
              </w:rPr>
              <w:t>(</w:t>
            </w:r>
            <w:r w:rsidRPr="00B527D0">
              <w:rPr>
                <w:rFonts w:cs="Arial"/>
                <w:i/>
                <w:sz w:val="14"/>
              </w:rPr>
              <w:t>k</w:t>
            </w:r>
            <w:r w:rsidRPr="00B527D0">
              <w:rPr>
                <w:rFonts w:cs="Arial"/>
                <w:sz w:val="14"/>
              </w:rPr>
              <w:t>)</w:t>
            </w:r>
          </w:p>
        </w:tc>
        <w:tc>
          <w:tcPr>
            <w:tcW w:w="1417" w:type="dxa"/>
            <w:tcBorders>
              <w:top w:val="single" w:sz="4" w:space="0" w:color="FFFFFF"/>
              <w:left w:val="single" w:sz="4" w:space="0" w:color="auto"/>
              <w:bottom w:val="single" w:sz="4" w:space="0" w:color="auto"/>
              <w:right w:val="single" w:sz="4" w:space="0" w:color="auto"/>
            </w:tcBorders>
            <w:shd w:val="clear" w:color="auto" w:fill="E0E0E0"/>
            <w:vAlign w:val="center"/>
          </w:tcPr>
          <w:p w14:paraId="2420BBA6" w14:textId="77777777" w:rsidR="002C3715" w:rsidRPr="00B527D0" w:rsidRDefault="002C3715" w:rsidP="00E22DD5">
            <w:pPr>
              <w:pStyle w:val="TAH"/>
              <w:rPr>
                <w:rFonts w:cs="Arial"/>
                <w:sz w:val="14"/>
              </w:rPr>
            </w:pPr>
            <w:r w:rsidRPr="00B527D0">
              <w:rPr>
                <w:rFonts w:cs="Arial"/>
                <w:sz w:val="14"/>
              </w:rPr>
              <w:t>(</w:t>
            </w:r>
            <w:r w:rsidRPr="00B527D0">
              <w:rPr>
                <w:rFonts w:cs="Arial"/>
                <w:i/>
                <w:sz w:val="14"/>
              </w:rPr>
              <w:t>k</w:t>
            </w:r>
            <w:r w:rsidRPr="00B527D0">
              <w:rPr>
                <w:rFonts w:cs="Arial"/>
                <w:sz w:val="14"/>
              </w:rPr>
              <w:t>)</w:t>
            </w:r>
          </w:p>
        </w:tc>
        <w:tc>
          <w:tcPr>
            <w:tcW w:w="1418" w:type="dxa"/>
            <w:tcBorders>
              <w:top w:val="single" w:sz="4" w:space="0" w:color="FFFFFF"/>
              <w:left w:val="single" w:sz="4" w:space="0" w:color="auto"/>
              <w:bottom w:val="single" w:sz="4" w:space="0" w:color="auto"/>
              <w:right w:val="single" w:sz="4" w:space="0" w:color="auto"/>
            </w:tcBorders>
            <w:shd w:val="clear" w:color="auto" w:fill="E0E0E0"/>
            <w:vAlign w:val="center"/>
          </w:tcPr>
          <w:p w14:paraId="16CB82A2" w14:textId="77777777" w:rsidR="002C3715" w:rsidRPr="00B527D0" w:rsidRDefault="002C3715" w:rsidP="00E22DD5">
            <w:pPr>
              <w:pStyle w:val="TAH"/>
              <w:rPr>
                <w:rFonts w:cs="Arial"/>
                <w:sz w:val="14"/>
              </w:rPr>
            </w:pPr>
            <w:r w:rsidRPr="00B527D0">
              <w:rPr>
                <w:rFonts w:cs="Arial"/>
                <w:sz w:val="14"/>
              </w:rPr>
              <w:t>(</w:t>
            </w:r>
            <w:r w:rsidRPr="00B527D0">
              <w:rPr>
                <w:rFonts w:cs="Arial"/>
                <w:i/>
                <w:sz w:val="14"/>
              </w:rPr>
              <w:t>k</w:t>
            </w:r>
            <w:r w:rsidRPr="00B527D0">
              <w:rPr>
                <w:rFonts w:cs="Arial"/>
                <w:sz w:val="14"/>
              </w:rPr>
              <w:t>)</w:t>
            </w:r>
          </w:p>
        </w:tc>
        <w:tc>
          <w:tcPr>
            <w:tcW w:w="1417" w:type="dxa"/>
            <w:tcBorders>
              <w:top w:val="single" w:sz="4" w:space="0" w:color="FFFFFF"/>
              <w:left w:val="single" w:sz="4" w:space="0" w:color="auto"/>
              <w:bottom w:val="single" w:sz="4" w:space="0" w:color="auto"/>
              <w:right w:val="single" w:sz="4" w:space="0" w:color="auto"/>
            </w:tcBorders>
            <w:shd w:val="clear" w:color="auto" w:fill="E0E0E0"/>
            <w:vAlign w:val="center"/>
            <w:hideMark/>
          </w:tcPr>
          <w:p w14:paraId="185F4497" w14:textId="77777777" w:rsidR="002C3715" w:rsidRPr="00B527D0" w:rsidRDefault="002C3715" w:rsidP="00E22DD5">
            <w:pPr>
              <w:pStyle w:val="TAH"/>
              <w:rPr>
                <w:rFonts w:cs="Arial"/>
                <w:sz w:val="14"/>
              </w:rPr>
            </w:pPr>
            <w:r w:rsidRPr="00B527D0">
              <w:rPr>
                <w:rFonts w:cs="Arial"/>
                <w:sz w:val="14"/>
              </w:rPr>
              <w:t>(</w:t>
            </w:r>
            <w:r w:rsidRPr="00B527D0">
              <w:rPr>
                <w:rFonts w:cs="Arial"/>
                <w:i/>
                <w:sz w:val="14"/>
              </w:rPr>
              <w:t>k</w:t>
            </w:r>
            <w:r w:rsidRPr="00B527D0">
              <w:rPr>
                <w:rFonts w:cs="Arial"/>
                <w:sz w:val="14"/>
              </w:rPr>
              <w:t>)</w:t>
            </w:r>
          </w:p>
        </w:tc>
      </w:tr>
      <w:tr w:rsidR="002C3715" w:rsidRPr="00B527D0" w14:paraId="12C1EFA0" w14:textId="77777777" w:rsidTr="00E22DD5">
        <w:trPr>
          <w:cantSplit/>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A926919" w14:textId="77777777" w:rsidR="002C3715" w:rsidRPr="00B527D0" w:rsidRDefault="002C3715" w:rsidP="00E22DD5">
            <w:pPr>
              <w:pStyle w:val="TAC"/>
              <w:rPr>
                <w:rFonts w:cs="Arial"/>
                <w:sz w:val="14"/>
              </w:rPr>
            </w:pPr>
            <w:r w:rsidRPr="00B527D0">
              <w:rPr>
                <w:rFonts w:cs="Arial"/>
                <w:sz w:val="14"/>
              </w:rPr>
              <w:t>6 – 7</w:t>
            </w:r>
          </w:p>
        </w:tc>
        <w:tc>
          <w:tcPr>
            <w:tcW w:w="993" w:type="dxa"/>
            <w:tcBorders>
              <w:top w:val="single" w:sz="4" w:space="0" w:color="auto"/>
              <w:left w:val="single" w:sz="4" w:space="0" w:color="auto"/>
              <w:bottom w:val="single" w:sz="4" w:space="0" w:color="auto"/>
              <w:right w:val="single" w:sz="4" w:space="0" w:color="auto"/>
            </w:tcBorders>
          </w:tcPr>
          <w:p w14:paraId="0DD6DD3F" w14:textId="77777777" w:rsidR="002C3715" w:rsidRPr="00B527D0" w:rsidRDefault="002C3715" w:rsidP="00E22DD5">
            <w:pPr>
              <w:pStyle w:val="TAC"/>
              <w:rPr>
                <w:rFonts w:cs="Arial"/>
                <w:sz w:val="14"/>
              </w:rPr>
            </w:pPr>
            <w:r w:rsidRPr="00B527D0">
              <w:rPr>
                <w:rFonts w:cs="Arial"/>
                <w:sz w:val="14"/>
              </w:rPr>
              <w:t>1.3MHz</w:t>
            </w:r>
          </w:p>
        </w:tc>
        <w:tc>
          <w:tcPr>
            <w:tcW w:w="851" w:type="dxa"/>
            <w:tcBorders>
              <w:top w:val="single" w:sz="4" w:space="0" w:color="auto"/>
              <w:left w:val="single" w:sz="4" w:space="0" w:color="auto"/>
              <w:bottom w:val="single" w:sz="4" w:space="0" w:color="auto"/>
              <w:right w:val="single" w:sz="4" w:space="0" w:color="auto"/>
            </w:tcBorders>
          </w:tcPr>
          <w:p w14:paraId="06F2625A" w14:textId="77777777" w:rsidR="002C3715" w:rsidRPr="00B527D0" w:rsidRDefault="002C3715" w:rsidP="00E22DD5">
            <w:pPr>
              <w:pStyle w:val="TAC"/>
              <w:rPr>
                <w:rFonts w:cs="Arial"/>
                <w:sz w:val="14"/>
              </w:rPr>
            </w:pPr>
            <w:r w:rsidRPr="00B527D0">
              <w:rPr>
                <w:rFonts w:cs="Arial"/>
                <w:sz w:val="14"/>
              </w:rPr>
              <w:t>1</w:t>
            </w:r>
          </w:p>
        </w:tc>
        <w:tc>
          <w:tcPr>
            <w:tcW w:w="850" w:type="dxa"/>
            <w:tcBorders>
              <w:top w:val="single" w:sz="4" w:space="0" w:color="auto"/>
              <w:left w:val="single" w:sz="4" w:space="0" w:color="auto"/>
              <w:bottom w:val="single" w:sz="4" w:space="0" w:color="auto"/>
              <w:right w:val="single" w:sz="4" w:space="0" w:color="auto"/>
            </w:tcBorders>
          </w:tcPr>
          <w:p w14:paraId="1BB3CD78" w14:textId="77777777" w:rsidR="002C3715" w:rsidRPr="00B527D0" w:rsidRDefault="002C3715" w:rsidP="00E22DD5">
            <w:pPr>
              <w:pStyle w:val="TAC"/>
              <w:rPr>
                <w:rFonts w:cs="Arial"/>
                <w:sz w:val="14"/>
              </w:rPr>
            </w:pPr>
            <w:r w:rsidRPr="00B527D0">
              <w:rPr>
                <w:rFonts w:cs="Arial"/>
                <w:sz w:val="14"/>
              </w:rPr>
              <w:t>1</w:t>
            </w:r>
          </w:p>
        </w:tc>
        <w:tc>
          <w:tcPr>
            <w:tcW w:w="1276" w:type="dxa"/>
            <w:tcBorders>
              <w:top w:val="single" w:sz="4" w:space="0" w:color="auto"/>
              <w:left w:val="single" w:sz="4" w:space="0" w:color="auto"/>
              <w:bottom w:val="single" w:sz="4" w:space="0" w:color="auto"/>
              <w:right w:val="single" w:sz="4" w:space="0" w:color="auto"/>
            </w:tcBorders>
            <w:vAlign w:val="center"/>
          </w:tcPr>
          <w:p w14:paraId="5BDE45F7" w14:textId="77777777" w:rsidR="002C3715" w:rsidRPr="00B527D0" w:rsidRDefault="002C3715" w:rsidP="00E22DD5">
            <w:pPr>
              <w:pStyle w:val="TAC"/>
              <w:rPr>
                <w:rFonts w:cs="Arial"/>
                <w:sz w:val="14"/>
              </w:rPr>
            </w:pPr>
            <w:r w:rsidRPr="00B527D0">
              <w:rPr>
                <w:rFonts w:cs="Arial"/>
                <w:sz w:val="14"/>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92EF89B" w14:textId="77777777" w:rsidR="002C3715" w:rsidRPr="00B527D0" w:rsidRDefault="002C3715" w:rsidP="00E22DD5">
            <w:pPr>
              <w:pStyle w:val="TAC"/>
              <w:rPr>
                <w:rFonts w:cs="Arial"/>
                <w:sz w:val="14"/>
              </w:rPr>
            </w:pPr>
            <w:r w:rsidRPr="00B527D0">
              <w:rPr>
                <w:rFonts w:cs="Arial"/>
                <w:sz w:val="14"/>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A045762" w14:textId="77777777" w:rsidR="002C3715" w:rsidRPr="00B527D0" w:rsidRDefault="002C3715" w:rsidP="00E22DD5">
            <w:pPr>
              <w:pStyle w:val="TAC"/>
              <w:rPr>
                <w:rFonts w:cs="Arial"/>
                <w:sz w:val="14"/>
              </w:rPr>
            </w:pPr>
            <w:r w:rsidRPr="00B527D0">
              <w:rPr>
                <w:rFonts w:cs="Arial"/>
                <w:sz w:val="14"/>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914DB" w14:textId="77777777" w:rsidR="002C3715" w:rsidRPr="00B527D0" w:rsidRDefault="002C3715" w:rsidP="00E22DD5">
            <w:pPr>
              <w:pStyle w:val="TAC"/>
              <w:rPr>
                <w:rFonts w:cs="Arial"/>
                <w:sz w:val="14"/>
              </w:rPr>
            </w:pPr>
            <w:r w:rsidRPr="00B527D0">
              <w:rPr>
                <w:rFonts w:cs="Arial"/>
                <w:sz w:val="14"/>
              </w:rPr>
              <w:t>NA</w:t>
            </w:r>
          </w:p>
        </w:tc>
      </w:tr>
      <w:tr w:rsidR="002C3715" w:rsidRPr="00B527D0" w14:paraId="746A2EE7" w14:textId="77777777" w:rsidTr="00E22DD5">
        <w:trPr>
          <w:cantSplit/>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5128D57" w14:textId="77777777" w:rsidR="002C3715" w:rsidRPr="00B527D0" w:rsidRDefault="002C3715" w:rsidP="00E22DD5">
            <w:pPr>
              <w:pStyle w:val="TAC"/>
              <w:rPr>
                <w:rFonts w:cs="Arial"/>
                <w:sz w:val="14"/>
              </w:rPr>
            </w:pPr>
            <w:r w:rsidRPr="00B527D0">
              <w:rPr>
                <w:rFonts w:cs="Arial"/>
                <w:sz w:val="14"/>
              </w:rPr>
              <w:t>8 – 10</w:t>
            </w:r>
          </w:p>
        </w:tc>
        <w:tc>
          <w:tcPr>
            <w:tcW w:w="993" w:type="dxa"/>
            <w:tcBorders>
              <w:top w:val="single" w:sz="4" w:space="0" w:color="auto"/>
              <w:left w:val="single" w:sz="4" w:space="0" w:color="auto"/>
              <w:bottom w:val="single" w:sz="4" w:space="0" w:color="auto"/>
              <w:right w:val="single" w:sz="4" w:space="0" w:color="auto"/>
            </w:tcBorders>
          </w:tcPr>
          <w:p w14:paraId="23C50FA2" w14:textId="77777777" w:rsidR="002C3715" w:rsidRPr="00B527D0" w:rsidRDefault="002C3715" w:rsidP="00E22DD5">
            <w:pPr>
              <w:pStyle w:val="TAC"/>
              <w:rPr>
                <w:rFonts w:cs="Arial"/>
                <w:sz w:val="14"/>
              </w:rPr>
            </w:pPr>
          </w:p>
        </w:tc>
        <w:tc>
          <w:tcPr>
            <w:tcW w:w="851" w:type="dxa"/>
            <w:tcBorders>
              <w:top w:val="single" w:sz="4" w:space="0" w:color="auto"/>
              <w:left w:val="single" w:sz="4" w:space="0" w:color="auto"/>
              <w:bottom w:val="single" w:sz="4" w:space="0" w:color="auto"/>
              <w:right w:val="single" w:sz="4" w:space="0" w:color="auto"/>
            </w:tcBorders>
          </w:tcPr>
          <w:p w14:paraId="59F58933" w14:textId="77777777" w:rsidR="002C3715" w:rsidRPr="00B527D0" w:rsidRDefault="002C3715" w:rsidP="00E22DD5">
            <w:pPr>
              <w:pStyle w:val="TAC"/>
              <w:rPr>
                <w:rFonts w:cs="Arial"/>
                <w:sz w:val="14"/>
              </w:rPr>
            </w:pPr>
            <w:r w:rsidRPr="00B527D0">
              <w:rPr>
                <w:rFonts w:cs="Arial"/>
                <w:sz w:val="14"/>
              </w:rPr>
              <w:t>1</w:t>
            </w:r>
          </w:p>
        </w:tc>
        <w:tc>
          <w:tcPr>
            <w:tcW w:w="850" w:type="dxa"/>
            <w:tcBorders>
              <w:top w:val="single" w:sz="4" w:space="0" w:color="auto"/>
              <w:left w:val="single" w:sz="4" w:space="0" w:color="auto"/>
              <w:bottom w:val="single" w:sz="4" w:space="0" w:color="auto"/>
              <w:right w:val="single" w:sz="4" w:space="0" w:color="auto"/>
            </w:tcBorders>
          </w:tcPr>
          <w:p w14:paraId="3B9D5114" w14:textId="77777777" w:rsidR="002C3715" w:rsidRPr="00B527D0" w:rsidRDefault="002C3715" w:rsidP="00E22DD5">
            <w:pPr>
              <w:pStyle w:val="TAC"/>
              <w:rPr>
                <w:rFonts w:cs="Arial"/>
                <w:sz w:val="14"/>
              </w:rPr>
            </w:pPr>
            <w:r w:rsidRPr="00B527D0">
              <w:rPr>
                <w:rFonts w:cs="Arial"/>
                <w:sz w:val="14"/>
              </w:rPr>
              <w:t>1</w:t>
            </w:r>
          </w:p>
        </w:tc>
        <w:tc>
          <w:tcPr>
            <w:tcW w:w="1276" w:type="dxa"/>
            <w:tcBorders>
              <w:top w:val="single" w:sz="4" w:space="0" w:color="auto"/>
              <w:left w:val="single" w:sz="4" w:space="0" w:color="auto"/>
              <w:bottom w:val="single" w:sz="4" w:space="0" w:color="auto"/>
              <w:right w:val="single" w:sz="4" w:space="0" w:color="auto"/>
            </w:tcBorders>
            <w:vAlign w:val="center"/>
          </w:tcPr>
          <w:p w14:paraId="1D3C4728" w14:textId="77777777" w:rsidR="002C3715" w:rsidRPr="00B527D0" w:rsidRDefault="002C3715" w:rsidP="00E22DD5">
            <w:pPr>
              <w:pStyle w:val="TAC"/>
              <w:rPr>
                <w:rFonts w:cs="Arial"/>
                <w:sz w:val="14"/>
              </w:rPr>
            </w:pPr>
            <w:r w:rsidRPr="00B527D0">
              <w:rPr>
                <w:rFonts w:cs="Arial"/>
                <w:sz w:val="14"/>
              </w:rPr>
              <w:t>4(4xRBG size)</w:t>
            </w:r>
          </w:p>
        </w:tc>
        <w:tc>
          <w:tcPr>
            <w:tcW w:w="1417" w:type="dxa"/>
            <w:tcBorders>
              <w:top w:val="single" w:sz="4" w:space="0" w:color="auto"/>
              <w:left w:val="single" w:sz="4" w:space="0" w:color="auto"/>
              <w:bottom w:val="single" w:sz="4" w:space="0" w:color="auto"/>
              <w:right w:val="single" w:sz="4" w:space="0" w:color="auto"/>
            </w:tcBorders>
            <w:vAlign w:val="center"/>
          </w:tcPr>
          <w:p w14:paraId="2C8289AC" w14:textId="77777777" w:rsidR="002C3715" w:rsidRPr="00B527D0" w:rsidRDefault="002C3715" w:rsidP="00E22DD5">
            <w:pPr>
              <w:pStyle w:val="TAC"/>
              <w:rPr>
                <w:rFonts w:cs="Arial"/>
                <w:sz w:val="14"/>
              </w:rPr>
            </w:pPr>
            <w:r w:rsidRPr="00B527D0">
              <w:rPr>
                <w:rFonts w:cs="Arial"/>
                <w:sz w:val="14"/>
              </w:rPr>
              <w:t>2(2xRBG size)</w:t>
            </w:r>
          </w:p>
        </w:tc>
        <w:tc>
          <w:tcPr>
            <w:tcW w:w="1418" w:type="dxa"/>
            <w:tcBorders>
              <w:top w:val="single" w:sz="4" w:space="0" w:color="auto"/>
              <w:left w:val="single" w:sz="4" w:space="0" w:color="auto"/>
              <w:bottom w:val="single" w:sz="4" w:space="0" w:color="auto"/>
              <w:right w:val="single" w:sz="4" w:space="0" w:color="auto"/>
            </w:tcBorders>
            <w:vAlign w:val="center"/>
          </w:tcPr>
          <w:p w14:paraId="26E8518B" w14:textId="77777777" w:rsidR="002C3715" w:rsidRPr="00B527D0" w:rsidRDefault="002C3715" w:rsidP="00E22DD5">
            <w:pPr>
              <w:pStyle w:val="TAC"/>
              <w:rPr>
                <w:rFonts w:cs="Arial"/>
                <w:sz w:val="14"/>
              </w:rPr>
            </w:pPr>
            <w:r w:rsidRPr="00B527D0">
              <w:rPr>
                <w:rFonts w:cs="Arial"/>
                <w:sz w:val="14"/>
              </w:rPr>
              <w:t>4(4x sRBG size)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D14F8" w14:textId="77777777" w:rsidR="002C3715" w:rsidRPr="00B527D0" w:rsidRDefault="002C3715" w:rsidP="00E22DD5">
            <w:pPr>
              <w:pStyle w:val="TAC"/>
              <w:rPr>
                <w:rFonts w:cs="Arial"/>
                <w:sz w:val="14"/>
              </w:rPr>
            </w:pPr>
            <w:r w:rsidRPr="00B527D0">
              <w:rPr>
                <w:rFonts w:cs="Arial"/>
                <w:sz w:val="14"/>
              </w:rPr>
              <w:t>4(2x sRBG size)</w:t>
            </w:r>
          </w:p>
        </w:tc>
      </w:tr>
      <w:tr w:rsidR="002C3715" w:rsidRPr="00B527D0" w14:paraId="19799598" w14:textId="77777777" w:rsidTr="00E22DD5">
        <w:trPr>
          <w:cantSplit/>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89658B1" w14:textId="77777777" w:rsidR="002C3715" w:rsidRPr="00B527D0" w:rsidRDefault="002C3715" w:rsidP="00E22DD5">
            <w:pPr>
              <w:pStyle w:val="TAC"/>
              <w:rPr>
                <w:rFonts w:cs="Arial"/>
                <w:sz w:val="14"/>
              </w:rPr>
            </w:pPr>
            <w:r w:rsidRPr="00B527D0">
              <w:rPr>
                <w:rFonts w:cs="Arial"/>
                <w:sz w:val="14"/>
              </w:rPr>
              <w:t>11 – 26 3 5MHz</w:t>
            </w:r>
          </w:p>
        </w:tc>
        <w:tc>
          <w:tcPr>
            <w:tcW w:w="993" w:type="dxa"/>
            <w:tcBorders>
              <w:top w:val="single" w:sz="4" w:space="0" w:color="auto"/>
              <w:left w:val="single" w:sz="4" w:space="0" w:color="auto"/>
              <w:bottom w:val="single" w:sz="4" w:space="0" w:color="auto"/>
              <w:right w:val="single" w:sz="4" w:space="0" w:color="auto"/>
            </w:tcBorders>
          </w:tcPr>
          <w:p w14:paraId="2AD5530C" w14:textId="77777777" w:rsidR="002C3715" w:rsidRPr="00B527D0" w:rsidRDefault="002C3715" w:rsidP="00E22DD5">
            <w:pPr>
              <w:pStyle w:val="TAC"/>
              <w:rPr>
                <w:rFonts w:cs="Arial"/>
                <w:sz w:val="14"/>
              </w:rPr>
            </w:pPr>
            <w:r w:rsidRPr="00B527D0">
              <w:rPr>
                <w:rFonts w:cs="Arial"/>
                <w:sz w:val="14"/>
              </w:rPr>
              <w:t>3MHz 5MHz</w:t>
            </w:r>
          </w:p>
        </w:tc>
        <w:tc>
          <w:tcPr>
            <w:tcW w:w="851" w:type="dxa"/>
            <w:tcBorders>
              <w:top w:val="single" w:sz="4" w:space="0" w:color="auto"/>
              <w:left w:val="single" w:sz="4" w:space="0" w:color="auto"/>
              <w:bottom w:val="single" w:sz="4" w:space="0" w:color="auto"/>
              <w:right w:val="single" w:sz="4" w:space="0" w:color="auto"/>
            </w:tcBorders>
          </w:tcPr>
          <w:p w14:paraId="54DFB78B" w14:textId="77777777" w:rsidR="002C3715" w:rsidRPr="00B527D0" w:rsidRDefault="002C3715" w:rsidP="00E22DD5">
            <w:pPr>
              <w:pStyle w:val="TAC"/>
              <w:rPr>
                <w:rFonts w:cs="Arial"/>
                <w:sz w:val="14"/>
              </w:rPr>
            </w:pPr>
            <w:r w:rsidRPr="00B527D0">
              <w:rPr>
                <w:rFonts w:cs="Arial"/>
                <w:sz w:val="14"/>
              </w:rPr>
              <w:t>2</w:t>
            </w:r>
          </w:p>
        </w:tc>
        <w:tc>
          <w:tcPr>
            <w:tcW w:w="850" w:type="dxa"/>
            <w:tcBorders>
              <w:top w:val="single" w:sz="4" w:space="0" w:color="auto"/>
              <w:left w:val="single" w:sz="4" w:space="0" w:color="auto"/>
              <w:bottom w:val="single" w:sz="4" w:space="0" w:color="auto"/>
              <w:right w:val="single" w:sz="4" w:space="0" w:color="auto"/>
            </w:tcBorders>
          </w:tcPr>
          <w:p w14:paraId="25913494" w14:textId="77777777" w:rsidR="002C3715" w:rsidRPr="00B527D0" w:rsidRDefault="002C3715" w:rsidP="00E22DD5">
            <w:pPr>
              <w:pStyle w:val="TAC"/>
              <w:rPr>
                <w:rFonts w:cs="Arial"/>
                <w:sz w:val="14"/>
              </w:rPr>
            </w:pPr>
            <w:r w:rsidRPr="00B527D0">
              <w:rPr>
                <w:rFonts w:cs="Arial"/>
                <w:sz w:val="14"/>
              </w:rPr>
              <w:t>6</w:t>
            </w:r>
          </w:p>
        </w:tc>
        <w:tc>
          <w:tcPr>
            <w:tcW w:w="1276" w:type="dxa"/>
            <w:tcBorders>
              <w:top w:val="single" w:sz="4" w:space="0" w:color="auto"/>
              <w:left w:val="single" w:sz="4" w:space="0" w:color="auto"/>
              <w:bottom w:val="single" w:sz="4" w:space="0" w:color="auto"/>
              <w:right w:val="single" w:sz="4" w:space="0" w:color="auto"/>
            </w:tcBorders>
            <w:vAlign w:val="center"/>
          </w:tcPr>
          <w:p w14:paraId="4E9AC684" w14:textId="77777777" w:rsidR="002C3715" w:rsidRPr="00B527D0" w:rsidRDefault="002C3715" w:rsidP="00E22DD5">
            <w:pPr>
              <w:pStyle w:val="TAC"/>
              <w:rPr>
                <w:rFonts w:cs="Arial"/>
                <w:sz w:val="14"/>
              </w:rPr>
            </w:pPr>
            <w:r w:rsidRPr="00B527D0">
              <w:rPr>
                <w:rFonts w:cs="Arial"/>
                <w:sz w:val="14"/>
              </w:rPr>
              <w:t>4(2xRBG size)</w:t>
            </w:r>
          </w:p>
        </w:tc>
        <w:tc>
          <w:tcPr>
            <w:tcW w:w="1417" w:type="dxa"/>
            <w:tcBorders>
              <w:top w:val="single" w:sz="4" w:space="0" w:color="auto"/>
              <w:left w:val="single" w:sz="4" w:space="0" w:color="auto"/>
              <w:bottom w:val="single" w:sz="4" w:space="0" w:color="auto"/>
              <w:right w:val="single" w:sz="4" w:space="0" w:color="auto"/>
            </w:tcBorders>
            <w:vAlign w:val="center"/>
          </w:tcPr>
          <w:p w14:paraId="22BE8B00" w14:textId="77777777" w:rsidR="002C3715" w:rsidRPr="00B527D0" w:rsidRDefault="002C3715" w:rsidP="00E22DD5">
            <w:pPr>
              <w:pStyle w:val="TAC"/>
              <w:rPr>
                <w:rFonts w:cs="Arial"/>
                <w:sz w:val="14"/>
              </w:rPr>
            </w:pPr>
            <w:r w:rsidRPr="00B527D0">
              <w:rPr>
                <w:rFonts w:cs="Arial"/>
                <w:sz w:val="14"/>
              </w:rPr>
              <w:t>2(1xRBG size)</w:t>
            </w:r>
          </w:p>
        </w:tc>
        <w:tc>
          <w:tcPr>
            <w:tcW w:w="1418" w:type="dxa"/>
            <w:tcBorders>
              <w:top w:val="single" w:sz="4" w:space="0" w:color="auto"/>
              <w:left w:val="single" w:sz="4" w:space="0" w:color="auto"/>
              <w:bottom w:val="single" w:sz="4" w:space="0" w:color="auto"/>
              <w:right w:val="single" w:sz="4" w:space="0" w:color="auto"/>
            </w:tcBorders>
            <w:vAlign w:val="center"/>
          </w:tcPr>
          <w:p w14:paraId="02E738B3" w14:textId="77777777" w:rsidR="002C3715" w:rsidRPr="00B527D0" w:rsidRDefault="002C3715" w:rsidP="00E22DD5">
            <w:pPr>
              <w:pStyle w:val="TAC"/>
              <w:rPr>
                <w:rFonts w:cs="Arial"/>
                <w:sz w:val="14"/>
              </w:rPr>
            </w:pPr>
            <w:r w:rsidRPr="00B527D0">
              <w:rPr>
                <w:rFonts w:cs="Arial"/>
                <w:sz w:val="14"/>
              </w:rPr>
              <w:t>12(2x sRBG size)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6D941" w14:textId="77777777" w:rsidR="002C3715" w:rsidRPr="00B527D0" w:rsidRDefault="002C3715" w:rsidP="00E22DD5">
            <w:pPr>
              <w:pStyle w:val="TAC"/>
              <w:rPr>
                <w:rFonts w:cs="Arial"/>
                <w:sz w:val="14"/>
              </w:rPr>
            </w:pPr>
            <w:r w:rsidRPr="00B527D0">
              <w:rPr>
                <w:rFonts w:cs="Arial"/>
                <w:sz w:val="14"/>
              </w:rPr>
              <w:t>6(1x sRBG size)</w:t>
            </w:r>
          </w:p>
        </w:tc>
      </w:tr>
      <w:tr w:rsidR="002C3715" w:rsidRPr="00B527D0" w14:paraId="40EB240C" w14:textId="77777777" w:rsidTr="00E22DD5">
        <w:trPr>
          <w:cantSplit/>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86C9FE3" w14:textId="77777777" w:rsidR="002C3715" w:rsidRPr="00B527D0" w:rsidRDefault="002C3715" w:rsidP="00E22DD5">
            <w:pPr>
              <w:pStyle w:val="TAC"/>
              <w:rPr>
                <w:rFonts w:cs="Arial"/>
                <w:sz w:val="14"/>
              </w:rPr>
            </w:pPr>
            <w:r w:rsidRPr="00B527D0">
              <w:rPr>
                <w:rFonts w:cs="Arial"/>
                <w:sz w:val="14"/>
              </w:rPr>
              <w:t>27 – 63  10 MHz</w:t>
            </w:r>
          </w:p>
        </w:tc>
        <w:tc>
          <w:tcPr>
            <w:tcW w:w="993" w:type="dxa"/>
            <w:tcBorders>
              <w:top w:val="single" w:sz="4" w:space="0" w:color="auto"/>
              <w:left w:val="single" w:sz="4" w:space="0" w:color="auto"/>
              <w:bottom w:val="single" w:sz="4" w:space="0" w:color="auto"/>
              <w:right w:val="single" w:sz="4" w:space="0" w:color="auto"/>
            </w:tcBorders>
          </w:tcPr>
          <w:p w14:paraId="2A3EC618" w14:textId="77777777" w:rsidR="002C3715" w:rsidRPr="00B527D0" w:rsidRDefault="002C3715" w:rsidP="00E22DD5">
            <w:pPr>
              <w:pStyle w:val="TAC"/>
              <w:rPr>
                <w:rFonts w:cs="Arial"/>
                <w:sz w:val="14"/>
              </w:rPr>
            </w:pPr>
            <w:r w:rsidRPr="00B527D0">
              <w:rPr>
                <w:rFonts w:cs="Arial"/>
                <w:sz w:val="14"/>
              </w:rPr>
              <w:t>10MHz</w:t>
            </w:r>
          </w:p>
        </w:tc>
        <w:tc>
          <w:tcPr>
            <w:tcW w:w="851" w:type="dxa"/>
            <w:tcBorders>
              <w:top w:val="single" w:sz="4" w:space="0" w:color="auto"/>
              <w:left w:val="single" w:sz="4" w:space="0" w:color="auto"/>
              <w:bottom w:val="single" w:sz="4" w:space="0" w:color="auto"/>
              <w:right w:val="single" w:sz="4" w:space="0" w:color="auto"/>
            </w:tcBorders>
          </w:tcPr>
          <w:p w14:paraId="45425F82" w14:textId="77777777" w:rsidR="002C3715" w:rsidRPr="00B527D0" w:rsidRDefault="002C3715" w:rsidP="00E22DD5">
            <w:pPr>
              <w:pStyle w:val="TAC"/>
              <w:rPr>
                <w:rFonts w:cs="Arial"/>
                <w:sz w:val="14"/>
              </w:rPr>
            </w:pPr>
            <w:r w:rsidRPr="00B527D0">
              <w:rPr>
                <w:rFonts w:cs="Arial"/>
                <w:sz w:val="14"/>
              </w:rPr>
              <w:t>3</w:t>
            </w:r>
          </w:p>
        </w:tc>
        <w:tc>
          <w:tcPr>
            <w:tcW w:w="850" w:type="dxa"/>
            <w:tcBorders>
              <w:top w:val="single" w:sz="4" w:space="0" w:color="auto"/>
              <w:left w:val="single" w:sz="4" w:space="0" w:color="auto"/>
              <w:bottom w:val="single" w:sz="4" w:space="0" w:color="auto"/>
              <w:right w:val="single" w:sz="4" w:space="0" w:color="auto"/>
            </w:tcBorders>
          </w:tcPr>
          <w:p w14:paraId="1E56E16F" w14:textId="77777777" w:rsidR="002C3715" w:rsidRPr="00B527D0" w:rsidRDefault="002C3715" w:rsidP="00E22DD5">
            <w:pPr>
              <w:pStyle w:val="TAC"/>
              <w:rPr>
                <w:rFonts w:cs="Arial"/>
                <w:sz w:val="14"/>
              </w:rPr>
            </w:pPr>
            <w:r w:rsidRPr="00B527D0">
              <w:rPr>
                <w:rFonts w:cs="Arial"/>
                <w:sz w:val="14"/>
              </w:rPr>
              <w:t>12</w:t>
            </w:r>
          </w:p>
        </w:tc>
        <w:tc>
          <w:tcPr>
            <w:tcW w:w="1276" w:type="dxa"/>
            <w:tcBorders>
              <w:top w:val="single" w:sz="4" w:space="0" w:color="auto"/>
              <w:left w:val="single" w:sz="4" w:space="0" w:color="auto"/>
              <w:bottom w:val="single" w:sz="4" w:space="0" w:color="auto"/>
              <w:right w:val="single" w:sz="4" w:space="0" w:color="auto"/>
            </w:tcBorders>
            <w:vAlign w:val="center"/>
          </w:tcPr>
          <w:p w14:paraId="061325B0" w14:textId="77777777" w:rsidR="002C3715" w:rsidRPr="00B527D0" w:rsidRDefault="002C3715" w:rsidP="00E22DD5">
            <w:pPr>
              <w:pStyle w:val="TAC"/>
              <w:rPr>
                <w:rFonts w:cs="Arial"/>
                <w:sz w:val="14"/>
              </w:rPr>
            </w:pPr>
            <w:r w:rsidRPr="00B527D0">
              <w:rPr>
                <w:rFonts w:cs="Arial"/>
                <w:sz w:val="14"/>
              </w:rPr>
              <w:t>6(2xRBG size)</w:t>
            </w:r>
          </w:p>
        </w:tc>
        <w:tc>
          <w:tcPr>
            <w:tcW w:w="1417" w:type="dxa"/>
            <w:tcBorders>
              <w:top w:val="single" w:sz="4" w:space="0" w:color="auto"/>
              <w:left w:val="single" w:sz="4" w:space="0" w:color="auto"/>
              <w:bottom w:val="single" w:sz="4" w:space="0" w:color="auto"/>
              <w:right w:val="single" w:sz="4" w:space="0" w:color="auto"/>
            </w:tcBorders>
            <w:vAlign w:val="center"/>
          </w:tcPr>
          <w:p w14:paraId="2799738E" w14:textId="77777777" w:rsidR="002C3715" w:rsidRPr="00B527D0" w:rsidRDefault="002C3715" w:rsidP="00E22DD5">
            <w:pPr>
              <w:pStyle w:val="TAC"/>
              <w:rPr>
                <w:rFonts w:cs="Arial"/>
                <w:sz w:val="14"/>
              </w:rPr>
            </w:pPr>
            <w:r w:rsidRPr="00B527D0">
              <w:rPr>
                <w:rFonts w:cs="Arial"/>
                <w:sz w:val="14"/>
              </w:rPr>
              <w:t>3(1xRBG size)</w:t>
            </w:r>
          </w:p>
        </w:tc>
        <w:tc>
          <w:tcPr>
            <w:tcW w:w="1418" w:type="dxa"/>
            <w:tcBorders>
              <w:top w:val="single" w:sz="4" w:space="0" w:color="auto"/>
              <w:left w:val="single" w:sz="4" w:space="0" w:color="auto"/>
              <w:bottom w:val="single" w:sz="4" w:space="0" w:color="auto"/>
              <w:right w:val="single" w:sz="4" w:space="0" w:color="auto"/>
            </w:tcBorders>
            <w:vAlign w:val="center"/>
          </w:tcPr>
          <w:p w14:paraId="44F2E547" w14:textId="77777777" w:rsidR="002C3715" w:rsidRPr="00B527D0" w:rsidRDefault="002C3715" w:rsidP="00E22DD5">
            <w:pPr>
              <w:pStyle w:val="TAC"/>
              <w:rPr>
                <w:rFonts w:cs="Arial"/>
                <w:sz w:val="14"/>
              </w:rPr>
            </w:pPr>
            <w:r w:rsidRPr="00B527D0">
              <w:rPr>
                <w:rFonts w:cs="Arial"/>
                <w:sz w:val="14"/>
              </w:rPr>
              <w:t>24(2x sRBG size)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2B4B4" w14:textId="77777777" w:rsidR="002C3715" w:rsidRPr="00B527D0" w:rsidRDefault="002C3715" w:rsidP="00E22DD5">
            <w:pPr>
              <w:pStyle w:val="TAC"/>
              <w:rPr>
                <w:rFonts w:cs="Arial"/>
                <w:sz w:val="14"/>
              </w:rPr>
            </w:pPr>
            <w:r w:rsidRPr="00B527D0">
              <w:rPr>
                <w:rFonts w:cs="Arial"/>
                <w:sz w:val="14"/>
              </w:rPr>
              <w:t>12(1x sRBG size)</w:t>
            </w:r>
          </w:p>
        </w:tc>
      </w:tr>
      <w:tr w:rsidR="002C3715" w:rsidRPr="00B527D0" w14:paraId="1CBFDAC8" w14:textId="77777777" w:rsidTr="00E22DD5">
        <w:trPr>
          <w:cantSplit/>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17D2C537" w14:textId="77777777" w:rsidR="002C3715" w:rsidRPr="00B527D0" w:rsidRDefault="002C3715" w:rsidP="00E22DD5">
            <w:pPr>
              <w:pStyle w:val="TAC"/>
              <w:rPr>
                <w:rFonts w:cs="Arial"/>
                <w:sz w:val="14"/>
              </w:rPr>
            </w:pPr>
            <w:r w:rsidRPr="00B527D0">
              <w:rPr>
                <w:rFonts w:cs="Arial"/>
                <w:sz w:val="14"/>
              </w:rPr>
              <w:t>64 – 110 15 20MHz</w:t>
            </w:r>
          </w:p>
        </w:tc>
        <w:tc>
          <w:tcPr>
            <w:tcW w:w="993" w:type="dxa"/>
            <w:tcBorders>
              <w:top w:val="single" w:sz="4" w:space="0" w:color="auto"/>
              <w:left w:val="single" w:sz="4" w:space="0" w:color="auto"/>
              <w:bottom w:val="single" w:sz="4" w:space="0" w:color="auto"/>
              <w:right w:val="single" w:sz="4" w:space="0" w:color="auto"/>
            </w:tcBorders>
          </w:tcPr>
          <w:p w14:paraId="0BE49531" w14:textId="77777777" w:rsidR="002C3715" w:rsidRPr="00B527D0" w:rsidRDefault="002C3715" w:rsidP="00E22DD5">
            <w:pPr>
              <w:pStyle w:val="TAC"/>
              <w:rPr>
                <w:rFonts w:cs="Arial"/>
                <w:sz w:val="14"/>
              </w:rPr>
            </w:pPr>
            <w:r w:rsidRPr="00B527D0">
              <w:rPr>
                <w:rFonts w:cs="Arial"/>
                <w:sz w:val="14"/>
              </w:rPr>
              <w:t>15MHz 20MHz</w:t>
            </w:r>
          </w:p>
        </w:tc>
        <w:tc>
          <w:tcPr>
            <w:tcW w:w="851" w:type="dxa"/>
            <w:tcBorders>
              <w:top w:val="single" w:sz="4" w:space="0" w:color="auto"/>
              <w:left w:val="single" w:sz="4" w:space="0" w:color="auto"/>
              <w:bottom w:val="single" w:sz="4" w:space="0" w:color="auto"/>
              <w:right w:val="single" w:sz="4" w:space="0" w:color="auto"/>
            </w:tcBorders>
          </w:tcPr>
          <w:p w14:paraId="5B3C33D8" w14:textId="77777777" w:rsidR="002C3715" w:rsidRPr="00B527D0" w:rsidRDefault="002C3715" w:rsidP="00E22DD5">
            <w:pPr>
              <w:pStyle w:val="TAC"/>
              <w:rPr>
                <w:rFonts w:cs="Arial"/>
                <w:sz w:val="14"/>
              </w:rPr>
            </w:pPr>
            <w:r w:rsidRPr="00B527D0">
              <w:rPr>
                <w:rFonts w:cs="Arial"/>
                <w:sz w:val="14"/>
              </w:rPr>
              <w:t>4</w:t>
            </w:r>
          </w:p>
        </w:tc>
        <w:tc>
          <w:tcPr>
            <w:tcW w:w="850" w:type="dxa"/>
            <w:tcBorders>
              <w:top w:val="single" w:sz="4" w:space="0" w:color="auto"/>
              <w:left w:val="single" w:sz="4" w:space="0" w:color="auto"/>
              <w:bottom w:val="single" w:sz="4" w:space="0" w:color="auto"/>
              <w:right w:val="single" w:sz="4" w:space="0" w:color="auto"/>
            </w:tcBorders>
          </w:tcPr>
          <w:p w14:paraId="2F9DC467" w14:textId="77777777" w:rsidR="002C3715" w:rsidRPr="00B527D0" w:rsidRDefault="002C3715" w:rsidP="00E22DD5">
            <w:pPr>
              <w:pStyle w:val="TAC"/>
              <w:rPr>
                <w:rFonts w:cs="Arial"/>
                <w:sz w:val="14"/>
              </w:rPr>
            </w:pPr>
            <w:r w:rsidRPr="00B527D0">
              <w:rPr>
                <w:rFonts w:cs="Arial"/>
                <w:sz w:val="14"/>
              </w:rPr>
              <w:t>12</w:t>
            </w:r>
          </w:p>
        </w:tc>
        <w:tc>
          <w:tcPr>
            <w:tcW w:w="1276" w:type="dxa"/>
            <w:tcBorders>
              <w:top w:val="single" w:sz="4" w:space="0" w:color="auto"/>
              <w:left w:val="single" w:sz="4" w:space="0" w:color="auto"/>
              <w:bottom w:val="single" w:sz="4" w:space="0" w:color="auto"/>
              <w:right w:val="single" w:sz="4" w:space="0" w:color="auto"/>
            </w:tcBorders>
            <w:vAlign w:val="center"/>
          </w:tcPr>
          <w:p w14:paraId="52848293" w14:textId="77777777" w:rsidR="002C3715" w:rsidRPr="00B527D0" w:rsidRDefault="002C3715" w:rsidP="00E22DD5">
            <w:pPr>
              <w:pStyle w:val="TAC"/>
              <w:rPr>
                <w:rFonts w:cs="Arial"/>
                <w:sz w:val="14"/>
              </w:rPr>
            </w:pPr>
            <w:r w:rsidRPr="00B527D0">
              <w:rPr>
                <w:rFonts w:cs="Arial"/>
                <w:sz w:val="14"/>
              </w:rPr>
              <w:t>8 (2xRBG size)</w:t>
            </w:r>
          </w:p>
        </w:tc>
        <w:tc>
          <w:tcPr>
            <w:tcW w:w="1417" w:type="dxa"/>
            <w:tcBorders>
              <w:top w:val="single" w:sz="4" w:space="0" w:color="auto"/>
              <w:left w:val="single" w:sz="4" w:space="0" w:color="auto"/>
              <w:bottom w:val="single" w:sz="4" w:space="0" w:color="auto"/>
              <w:right w:val="single" w:sz="4" w:space="0" w:color="auto"/>
            </w:tcBorders>
            <w:vAlign w:val="center"/>
          </w:tcPr>
          <w:p w14:paraId="40923577" w14:textId="77777777" w:rsidR="002C3715" w:rsidRPr="00B527D0" w:rsidRDefault="002C3715" w:rsidP="00E22DD5">
            <w:pPr>
              <w:pStyle w:val="TAC"/>
              <w:rPr>
                <w:rFonts w:cs="Arial"/>
                <w:sz w:val="14"/>
              </w:rPr>
            </w:pPr>
            <w:r w:rsidRPr="00B527D0">
              <w:rPr>
                <w:rFonts w:cs="Arial"/>
                <w:sz w:val="14"/>
              </w:rPr>
              <w:t>4(1xRBG size)</w:t>
            </w:r>
          </w:p>
        </w:tc>
        <w:tc>
          <w:tcPr>
            <w:tcW w:w="1418" w:type="dxa"/>
            <w:tcBorders>
              <w:top w:val="single" w:sz="4" w:space="0" w:color="auto"/>
              <w:left w:val="single" w:sz="4" w:space="0" w:color="auto"/>
              <w:bottom w:val="single" w:sz="4" w:space="0" w:color="auto"/>
              <w:right w:val="single" w:sz="4" w:space="0" w:color="auto"/>
            </w:tcBorders>
            <w:vAlign w:val="center"/>
          </w:tcPr>
          <w:p w14:paraId="4419FDEE" w14:textId="77777777" w:rsidR="002C3715" w:rsidRPr="00B527D0" w:rsidRDefault="002C3715" w:rsidP="00E22DD5">
            <w:pPr>
              <w:pStyle w:val="TAC"/>
              <w:rPr>
                <w:rFonts w:cs="Arial"/>
                <w:sz w:val="14"/>
              </w:rPr>
            </w:pPr>
            <w:r w:rsidRPr="00B527D0">
              <w:rPr>
                <w:rFonts w:cs="Arial"/>
                <w:sz w:val="14"/>
              </w:rPr>
              <w:t>24(2x sRBG size)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F7C49" w14:textId="77777777" w:rsidR="002C3715" w:rsidRPr="00B527D0" w:rsidRDefault="002C3715" w:rsidP="00E22DD5">
            <w:pPr>
              <w:pStyle w:val="TAC"/>
              <w:rPr>
                <w:rFonts w:cs="Arial"/>
                <w:sz w:val="14"/>
              </w:rPr>
            </w:pPr>
            <w:r w:rsidRPr="00B527D0">
              <w:rPr>
                <w:rFonts w:cs="Arial"/>
                <w:sz w:val="14"/>
              </w:rPr>
              <w:t>12(1x sRBG size)</w:t>
            </w:r>
          </w:p>
        </w:tc>
      </w:tr>
    </w:tbl>
    <w:p w14:paraId="59A15D8F" w14:textId="77777777" w:rsidR="005E696B" w:rsidRDefault="005E696B" w:rsidP="00B84E17">
      <w:bookmarkStart w:id="172" w:name="_Toc497214013"/>
      <w:bookmarkStart w:id="173" w:name="_Toc497214108"/>
      <w:bookmarkStart w:id="174" w:name="_Toc497214182"/>
      <w:bookmarkStart w:id="175" w:name="_Toc497292498"/>
      <w:bookmarkStart w:id="176" w:name="_Toc497809994"/>
      <w:bookmarkEnd w:id="171"/>
    </w:p>
    <w:p w14:paraId="2F827620" w14:textId="6C94EFD5" w:rsidR="002C3715" w:rsidRDefault="002C3715" w:rsidP="00B84E17">
      <w:r w:rsidRPr="00B527D0">
        <w:t>The subband sizes are then</w:t>
      </w:r>
      <w:bookmarkEnd w:id="172"/>
      <w:bookmarkEnd w:id="173"/>
      <w:bookmarkEnd w:id="174"/>
      <w:bookmarkEnd w:id="175"/>
      <w:bookmarkEnd w:id="176"/>
      <w:r w:rsidR="005E696B">
        <w:t xml:space="preserve"> given in </w:t>
      </w:r>
      <w:r w:rsidR="005E696B">
        <w:fldChar w:fldCharType="begin"/>
      </w:r>
      <w:r w:rsidR="005E696B">
        <w:instrText xml:space="preserve"> REF _Ref497118640 \h </w:instrText>
      </w:r>
      <w:r w:rsidR="005E696B">
        <w:fldChar w:fldCharType="separate"/>
      </w:r>
      <w:r w:rsidR="00D61808" w:rsidRPr="00B527D0">
        <w:rPr>
          <w:rFonts w:cs="Arial"/>
        </w:rPr>
        <w:t xml:space="preserve">Table </w:t>
      </w:r>
      <w:r w:rsidR="00D61808">
        <w:rPr>
          <w:rFonts w:cs="Arial"/>
          <w:noProof/>
        </w:rPr>
        <w:t>3</w:t>
      </w:r>
      <w:r w:rsidR="005E696B">
        <w:fldChar w:fldCharType="end"/>
      </w:r>
      <w:r w:rsidR="005E696B">
        <w:t xml:space="preserve"> for bandwidth 5 to 20MHz.</w:t>
      </w:r>
    </w:p>
    <w:p w14:paraId="35A023B2" w14:textId="77777777" w:rsidR="00E0054D" w:rsidRPr="00B527D0" w:rsidRDefault="00E0054D" w:rsidP="00B84E17">
      <w:pPr>
        <w:rPr>
          <w:rFonts w:eastAsiaTheme="minorEastAsia"/>
          <w:color w:val="0070C0"/>
        </w:rPr>
      </w:pPr>
    </w:p>
    <w:p w14:paraId="6831B562" w14:textId="1550CAE6" w:rsidR="002549D5" w:rsidRPr="00B527D0" w:rsidRDefault="002549D5" w:rsidP="002549D5">
      <w:pPr>
        <w:pStyle w:val="Caption"/>
        <w:keepNext/>
        <w:rPr>
          <w:rFonts w:cs="Arial"/>
        </w:rPr>
      </w:pPr>
      <w:bookmarkStart w:id="177" w:name="_Ref497118640"/>
      <w:r w:rsidRPr="00B527D0">
        <w:rPr>
          <w:rFonts w:cs="Arial"/>
        </w:rPr>
        <w:t xml:space="preserve">Table </w:t>
      </w:r>
      <w:r w:rsidRPr="00B527D0">
        <w:rPr>
          <w:rFonts w:cs="Arial"/>
        </w:rPr>
        <w:fldChar w:fldCharType="begin"/>
      </w:r>
      <w:r w:rsidRPr="00B527D0">
        <w:rPr>
          <w:rFonts w:cs="Arial"/>
        </w:rPr>
        <w:instrText xml:space="preserve"> SEQ Table \* ARABIC </w:instrText>
      </w:r>
      <w:r w:rsidRPr="00B527D0">
        <w:rPr>
          <w:rFonts w:cs="Arial"/>
        </w:rPr>
        <w:fldChar w:fldCharType="separate"/>
      </w:r>
      <w:r w:rsidR="00D61808">
        <w:rPr>
          <w:rFonts w:cs="Arial"/>
          <w:noProof/>
        </w:rPr>
        <w:t>3</w:t>
      </w:r>
      <w:r w:rsidRPr="00B527D0">
        <w:rPr>
          <w:rFonts w:cs="Arial"/>
        </w:rPr>
        <w:fldChar w:fldCharType="end"/>
      </w:r>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04"/>
        <w:gridCol w:w="992"/>
        <w:gridCol w:w="1003"/>
        <w:gridCol w:w="1014"/>
      </w:tblGrid>
      <w:tr w:rsidR="002C3715" w:rsidRPr="00B527D0" w14:paraId="3FDF57B5" w14:textId="77777777" w:rsidTr="00E22DD5">
        <w:trPr>
          <w:jc w:val="center"/>
        </w:trPr>
        <w:tc>
          <w:tcPr>
            <w:tcW w:w="3325" w:type="dxa"/>
            <w:shd w:val="clear" w:color="auto" w:fill="D9E2F3"/>
          </w:tcPr>
          <w:p w14:paraId="3AFA6C9D" w14:textId="77777777" w:rsidR="002C3715" w:rsidRPr="00B527D0" w:rsidRDefault="002C3715" w:rsidP="00E22DD5">
            <w:pPr>
              <w:jc w:val="center"/>
              <w:rPr>
                <w:rFonts w:cs="Arial"/>
                <w:b/>
                <w:iCs/>
                <w:sz w:val="14"/>
              </w:rPr>
            </w:pPr>
            <w:r w:rsidRPr="00B527D0">
              <w:rPr>
                <w:rFonts w:cs="Arial"/>
                <w:b/>
                <w:iCs/>
                <w:sz w:val="14"/>
              </w:rPr>
              <w:t>Type</w:t>
            </w:r>
          </w:p>
        </w:tc>
        <w:tc>
          <w:tcPr>
            <w:tcW w:w="804" w:type="dxa"/>
            <w:shd w:val="clear" w:color="auto" w:fill="D9E2F3"/>
          </w:tcPr>
          <w:p w14:paraId="34258559" w14:textId="77777777" w:rsidR="002C3715" w:rsidRPr="00B527D0" w:rsidRDefault="002C3715" w:rsidP="00E22DD5">
            <w:pPr>
              <w:jc w:val="center"/>
              <w:rPr>
                <w:rFonts w:cs="Arial"/>
                <w:b/>
                <w:iCs/>
                <w:sz w:val="14"/>
              </w:rPr>
            </w:pPr>
            <w:r w:rsidRPr="00B527D0">
              <w:rPr>
                <w:rFonts w:cs="Arial"/>
                <w:b/>
                <w:iCs/>
                <w:sz w:val="14"/>
              </w:rPr>
              <w:t>5 MHz</w:t>
            </w:r>
          </w:p>
        </w:tc>
        <w:tc>
          <w:tcPr>
            <w:tcW w:w="992" w:type="dxa"/>
            <w:shd w:val="clear" w:color="auto" w:fill="D9E2F3"/>
          </w:tcPr>
          <w:p w14:paraId="1E7977A8" w14:textId="77777777" w:rsidR="002C3715" w:rsidRPr="00B527D0" w:rsidRDefault="002C3715" w:rsidP="00E22DD5">
            <w:pPr>
              <w:jc w:val="center"/>
              <w:rPr>
                <w:rFonts w:cs="Arial"/>
                <w:b/>
                <w:iCs/>
                <w:sz w:val="14"/>
              </w:rPr>
            </w:pPr>
            <w:r w:rsidRPr="00B527D0">
              <w:rPr>
                <w:rFonts w:cs="Arial"/>
                <w:b/>
                <w:iCs/>
                <w:sz w:val="14"/>
              </w:rPr>
              <w:t>10 MHz</w:t>
            </w:r>
          </w:p>
        </w:tc>
        <w:tc>
          <w:tcPr>
            <w:tcW w:w="1003" w:type="dxa"/>
            <w:shd w:val="clear" w:color="auto" w:fill="D9E2F3"/>
          </w:tcPr>
          <w:p w14:paraId="34F03715" w14:textId="77777777" w:rsidR="002C3715" w:rsidRPr="00B527D0" w:rsidRDefault="002C3715" w:rsidP="00E22DD5">
            <w:pPr>
              <w:jc w:val="center"/>
              <w:rPr>
                <w:rFonts w:cs="Arial"/>
                <w:b/>
                <w:iCs/>
                <w:sz w:val="14"/>
              </w:rPr>
            </w:pPr>
            <w:r w:rsidRPr="00B527D0">
              <w:rPr>
                <w:rFonts w:cs="Arial"/>
                <w:b/>
                <w:iCs/>
                <w:sz w:val="14"/>
              </w:rPr>
              <w:t>15 MHz</w:t>
            </w:r>
          </w:p>
        </w:tc>
        <w:tc>
          <w:tcPr>
            <w:tcW w:w="1014" w:type="dxa"/>
            <w:shd w:val="clear" w:color="auto" w:fill="D9E2F3"/>
          </w:tcPr>
          <w:p w14:paraId="7E7DEC4E" w14:textId="77777777" w:rsidR="002C3715" w:rsidRPr="00B527D0" w:rsidRDefault="002C3715" w:rsidP="00E22DD5">
            <w:pPr>
              <w:jc w:val="center"/>
              <w:rPr>
                <w:rFonts w:cs="Arial"/>
                <w:b/>
                <w:iCs/>
                <w:sz w:val="14"/>
              </w:rPr>
            </w:pPr>
            <w:r w:rsidRPr="00B527D0">
              <w:rPr>
                <w:rFonts w:cs="Arial"/>
                <w:b/>
                <w:iCs/>
                <w:sz w:val="14"/>
              </w:rPr>
              <w:t>20 MHz</w:t>
            </w:r>
          </w:p>
        </w:tc>
      </w:tr>
      <w:tr w:rsidR="002C3715" w:rsidRPr="00B527D0" w14:paraId="6C6459B0" w14:textId="77777777" w:rsidTr="00E22DD5">
        <w:trPr>
          <w:jc w:val="center"/>
        </w:trPr>
        <w:tc>
          <w:tcPr>
            <w:tcW w:w="3325" w:type="dxa"/>
          </w:tcPr>
          <w:p w14:paraId="76349FD4" w14:textId="77777777" w:rsidR="002C3715" w:rsidRPr="00B527D0" w:rsidRDefault="002C3715" w:rsidP="00E22DD5">
            <w:pPr>
              <w:jc w:val="center"/>
              <w:rPr>
                <w:rFonts w:cs="Arial"/>
                <w:iCs/>
                <w:sz w:val="14"/>
                <w:lang w:val="sv-SE"/>
              </w:rPr>
            </w:pPr>
            <w:r w:rsidRPr="00B527D0">
              <w:rPr>
                <w:rFonts w:cs="Arial"/>
                <w:iCs/>
                <w:sz w:val="14"/>
                <w:lang w:val="sv-SE"/>
              </w:rPr>
              <w:t>sRBG</w:t>
            </w:r>
          </w:p>
        </w:tc>
        <w:tc>
          <w:tcPr>
            <w:tcW w:w="804" w:type="dxa"/>
            <w:shd w:val="clear" w:color="auto" w:fill="auto"/>
          </w:tcPr>
          <w:p w14:paraId="5BE4897E" w14:textId="77777777" w:rsidR="002C3715" w:rsidRPr="00B527D0" w:rsidRDefault="002C3715" w:rsidP="00E22DD5">
            <w:pPr>
              <w:jc w:val="center"/>
              <w:rPr>
                <w:rFonts w:cs="Arial"/>
                <w:iCs/>
                <w:sz w:val="14"/>
                <w:lang w:val="sv-SE"/>
              </w:rPr>
            </w:pPr>
            <w:r w:rsidRPr="00B527D0">
              <w:rPr>
                <w:rFonts w:cs="Arial"/>
                <w:iCs/>
                <w:sz w:val="14"/>
                <w:lang w:val="sv-SE"/>
              </w:rPr>
              <w:t>6</w:t>
            </w:r>
          </w:p>
        </w:tc>
        <w:tc>
          <w:tcPr>
            <w:tcW w:w="992" w:type="dxa"/>
            <w:shd w:val="clear" w:color="auto" w:fill="auto"/>
          </w:tcPr>
          <w:p w14:paraId="697B7BD1" w14:textId="77777777" w:rsidR="002C3715" w:rsidRPr="00B527D0" w:rsidRDefault="002C3715" w:rsidP="00E22DD5">
            <w:pPr>
              <w:jc w:val="center"/>
              <w:rPr>
                <w:rFonts w:cs="Arial"/>
                <w:iCs/>
                <w:sz w:val="14"/>
                <w:lang w:val="sv-SE"/>
              </w:rPr>
            </w:pPr>
            <w:r w:rsidRPr="00B527D0">
              <w:rPr>
                <w:rFonts w:cs="Arial"/>
                <w:iCs/>
                <w:sz w:val="14"/>
                <w:lang w:val="sv-SE"/>
              </w:rPr>
              <w:t>6</w:t>
            </w:r>
          </w:p>
        </w:tc>
        <w:tc>
          <w:tcPr>
            <w:tcW w:w="1003" w:type="dxa"/>
            <w:shd w:val="clear" w:color="auto" w:fill="auto"/>
          </w:tcPr>
          <w:p w14:paraId="4149E0FC" w14:textId="77777777" w:rsidR="002C3715" w:rsidRPr="00B527D0" w:rsidRDefault="002C3715" w:rsidP="00E22DD5">
            <w:pPr>
              <w:jc w:val="center"/>
              <w:rPr>
                <w:rFonts w:cs="Arial"/>
                <w:iCs/>
                <w:sz w:val="14"/>
                <w:lang w:val="sv-SE"/>
              </w:rPr>
            </w:pPr>
            <w:r w:rsidRPr="00B527D0">
              <w:rPr>
                <w:rFonts w:cs="Arial"/>
                <w:iCs/>
                <w:sz w:val="14"/>
                <w:lang w:val="sv-SE"/>
              </w:rPr>
              <w:t>12</w:t>
            </w:r>
          </w:p>
        </w:tc>
        <w:tc>
          <w:tcPr>
            <w:tcW w:w="1014" w:type="dxa"/>
            <w:shd w:val="clear" w:color="auto" w:fill="auto"/>
          </w:tcPr>
          <w:p w14:paraId="4A48F824" w14:textId="77777777" w:rsidR="002C3715" w:rsidRPr="00B527D0" w:rsidRDefault="002C3715" w:rsidP="00E22DD5">
            <w:pPr>
              <w:jc w:val="center"/>
              <w:rPr>
                <w:rFonts w:cs="Arial"/>
                <w:iCs/>
                <w:sz w:val="14"/>
                <w:lang w:val="sv-SE"/>
              </w:rPr>
            </w:pPr>
            <w:r w:rsidRPr="00B527D0">
              <w:rPr>
                <w:rFonts w:cs="Arial"/>
                <w:iCs/>
                <w:sz w:val="14"/>
                <w:lang w:val="sv-SE"/>
              </w:rPr>
              <w:t>12</w:t>
            </w:r>
          </w:p>
        </w:tc>
      </w:tr>
      <w:tr w:rsidR="002C3715" w:rsidRPr="00B527D0" w14:paraId="04F8F227" w14:textId="77777777" w:rsidTr="00E22DD5">
        <w:trPr>
          <w:jc w:val="center"/>
        </w:trPr>
        <w:tc>
          <w:tcPr>
            <w:tcW w:w="3325" w:type="dxa"/>
          </w:tcPr>
          <w:p w14:paraId="60D1A242" w14:textId="77777777" w:rsidR="002C3715" w:rsidRPr="00B527D0" w:rsidRDefault="002C3715" w:rsidP="00E22DD5">
            <w:pPr>
              <w:jc w:val="center"/>
              <w:rPr>
                <w:rFonts w:cs="Arial"/>
                <w:iCs/>
                <w:sz w:val="14"/>
              </w:rPr>
            </w:pPr>
            <w:r w:rsidRPr="00B527D0">
              <w:rPr>
                <w:rFonts w:cs="Arial"/>
                <w:iCs/>
                <w:sz w:val="14"/>
              </w:rPr>
              <w:t>Subband size (reporting modes 3-x)</w:t>
            </w:r>
          </w:p>
        </w:tc>
        <w:tc>
          <w:tcPr>
            <w:tcW w:w="804" w:type="dxa"/>
            <w:shd w:val="clear" w:color="auto" w:fill="auto"/>
          </w:tcPr>
          <w:p w14:paraId="654A986A" w14:textId="77777777" w:rsidR="002C3715" w:rsidRPr="00B527D0" w:rsidRDefault="002C3715" w:rsidP="00E22DD5">
            <w:pPr>
              <w:jc w:val="center"/>
              <w:rPr>
                <w:rFonts w:cs="Arial"/>
                <w:iCs/>
                <w:sz w:val="14"/>
              </w:rPr>
            </w:pPr>
            <w:r w:rsidRPr="00B527D0">
              <w:rPr>
                <w:rFonts w:cs="Arial"/>
                <w:iCs/>
                <w:sz w:val="14"/>
              </w:rPr>
              <w:t>12</w:t>
            </w:r>
          </w:p>
        </w:tc>
        <w:tc>
          <w:tcPr>
            <w:tcW w:w="992" w:type="dxa"/>
            <w:shd w:val="clear" w:color="auto" w:fill="auto"/>
          </w:tcPr>
          <w:p w14:paraId="79C5FD8F" w14:textId="77777777" w:rsidR="002C3715" w:rsidRPr="00B527D0" w:rsidRDefault="002C3715" w:rsidP="00E22DD5">
            <w:pPr>
              <w:jc w:val="center"/>
              <w:rPr>
                <w:rFonts w:cs="Arial"/>
                <w:iCs/>
                <w:sz w:val="14"/>
              </w:rPr>
            </w:pPr>
            <w:r w:rsidRPr="00B527D0">
              <w:rPr>
                <w:rFonts w:cs="Arial"/>
                <w:iCs/>
                <w:sz w:val="14"/>
              </w:rPr>
              <w:t>12</w:t>
            </w:r>
          </w:p>
        </w:tc>
        <w:tc>
          <w:tcPr>
            <w:tcW w:w="1003" w:type="dxa"/>
            <w:shd w:val="clear" w:color="auto" w:fill="auto"/>
          </w:tcPr>
          <w:p w14:paraId="3B9D5C19" w14:textId="77777777" w:rsidR="002C3715" w:rsidRPr="00B527D0" w:rsidRDefault="002C3715" w:rsidP="00E22DD5">
            <w:pPr>
              <w:jc w:val="center"/>
              <w:rPr>
                <w:rFonts w:cs="Arial"/>
                <w:iCs/>
                <w:sz w:val="14"/>
              </w:rPr>
            </w:pPr>
            <w:r w:rsidRPr="00B527D0">
              <w:rPr>
                <w:rFonts w:cs="Arial"/>
                <w:iCs/>
                <w:sz w:val="14"/>
              </w:rPr>
              <w:t>24</w:t>
            </w:r>
          </w:p>
        </w:tc>
        <w:tc>
          <w:tcPr>
            <w:tcW w:w="1014" w:type="dxa"/>
            <w:shd w:val="clear" w:color="auto" w:fill="auto"/>
          </w:tcPr>
          <w:p w14:paraId="1EE2FC62" w14:textId="77777777" w:rsidR="002C3715" w:rsidRPr="00B527D0" w:rsidRDefault="002C3715" w:rsidP="00E22DD5">
            <w:pPr>
              <w:jc w:val="center"/>
              <w:rPr>
                <w:rFonts w:cs="Arial"/>
                <w:iCs/>
                <w:sz w:val="14"/>
              </w:rPr>
            </w:pPr>
            <w:r w:rsidRPr="00B527D0">
              <w:rPr>
                <w:rFonts w:cs="Arial"/>
                <w:iCs/>
                <w:sz w:val="14"/>
              </w:rPr>
              <w:t>24</w:t>
            </w:r>
          </w:p>
        </w:tc>
      </w:tr>
      <w:tr w:rsidR="002C3715" w:rsidRPr="00B527D0" w14:paraId="3462B14B" w14:textId="77777777" w:rsidTr="00E22DD5">
        <w:trPr>
          <w:jc w:val="center"/>
        </w:trPr>
        <w:tc>
          <w:tcPr>
            <w:tcW w:w="3325" w:type="dxa"/>
          </w:tcPr>
          <w:p w14:paraId="5D6E7EA2" w14:textId="77777777" w:rsidR="002C3715" w:rsidRPr="00B527D0" w:rsidRDefault="002C3715" w:rsidP="00E22DD5">
            <w:pPr>
              <w:jc w:val="center"/>
              <w:rPr>
                <w:rFonts w:cs="Arial"/>
                <w:iCs/>
                <w:sz w:val="14"/>
              </w:rPr>
            </w:pPr>
            <w:r w:rsidRPr="00B527D0">
              <w:rPr>
                <w:rFonts w:cs="Arial"/>
                <w:iCs/>
                <w:sz w:val="14"/>
              </w:rPr>
              <w:t>Subband size (reporting mode 2-x)</w:t>
            </w:r>
          </w:p>
        </w:tc>
        <w:tc>
          <w:tcPr>
            <w:tcW w:w="804" w:type="dxa"/>
            <w:shd w:val="clear" w:color="auto" w:fill="auto"/>
          </w:tcPr>
          <w:p w14:paraId="72FCFD17" w14:textId="77777777" w:rsidR="002C3715" w:rsidRPr="00B527D0" w:rsidRDefault="002C3715" w:rsidP="00E22DD5">
            <w:pPr>
              <w:jc w:val="center"/>
              <w:rPr>
                <w:rFonts w:cs="Arial"/>
                <w:iCs/>
                <w:sz w:val="14"/>
              </w:rPr>
            </w:pPr>
            <w:r w:rsidRPr="00B527D0">
              <w:rPr>
                <w:rFonts w:cs="Arial"/>
                <w:iCs/>
                <w:sz w:val="14"/>
              </w:rPr>
              <w:t>12</w:t>
            </w:r>
          </w:p>
        </w:tc>
        <w:tc>
          <w:tcPr>
            <w:tcW w:w="992" w:type="dxa"/>
            <w:shd w:val="clear" w:color="auto" w:fill="auto"/>
          </w:tcPr>
          <w:p w14:paraId="6E865F4D" w14:textId="77777777" w:rsidR="002C3715" w:rsidRPr="00B527D0" w:rsidRDefault="002C3715" w:rsidP="00E22DD5">
            <w:pPr>
              <w:jc w:val="center"/>
              <w:rPr>
                <w:rFonts w:cs="Arial"/>
                <w:iCs/>
                <w:sz w:val="14"/>
              </w:rPr>
            </w:pPr>
            <w:r w:rsidRPr="00B527D0">
              <w:rPr>
                <w:rFonts w:cs="Arial"/>
                <w:iCs/>
                <w:sz w:val="14"/>
              </w:rPr>
              <w:t>12</w:t>
            </w:r>
          </w:p>
        </w:tc>
        <w:tc>
          <w:tcPr>
            <w:tcW w:w="1003" w:type="dxa"/>
            <w:shd w:val="clear" w:color="auto" w:fill="auto"/>
          </w:tcPr>
          <w:p w14:paraId="3403083B" w14:textId="77777777" w:rsidR="002C3715" w:rsidRPr="00B527D0" w:rsidRDefault="002C3715" w:rsidP="00E22DD5">
            <w:pPr>
              <w:jc w:val="center"/>
              <w:rPr>
                <w:rFonts w:cs="Arial"/>
                <w:iCs/>
                <w:sz w:val="14"/>
              </w:rPr>
            </w:pPr>
            <w:r w:rsidRPr="00B527D0">
              <w:rPr>
                <w:rFonts w:cs="Arial"/>
                <w:iCs/>
                <w:sz w:val="14"/>
              </w:rPr>
              <w:t>12</w:t>
            </w:r>
          </w:p>
        </w:tc>
        <w:tc>
          <w:tcPr>
            <w:tcW w:w="1014" w:type="dxa"/>
            <w:shd w:val="clear" w:color="auto" w:fill="auto"/>
          </w:tcPr>
          <w:p w14:paraId="735F91A1" w14:textId="77777777" w:rsidR="002C3715" w:rsidRPr="00B527D0" w:rsidRDefault="002C3715" w:rsidP="00E22DD5">
            <w:pPr>
              <w:jc w:val="center"/>
              <w:rPr>
                <w:rFonts w:cs="Arial"/>
                <w:iCs/>
                <w:sz w:val="14"/>
              </w:rPr>
            </w:pPr>
            <w:r w:rsidRPr="00B527D0">
              <w:rPr>
                <w:rFonts w:cs="Arial"/>
                <w:iCs/>
                <w:sz w:val="14"/>
              </w:rPr>
              <w:t>12</w:t>
            </w:r>
          </w:p>
        </w:tc>
      </w:tr>
    </w:tbl>
    <w:p w14:paraId="0C040971" w14:textId="77777777" w:rsidR="005E696B" w:rsidRDefault="005E696B" w:rsidP="00B84E17"/>
    <w:p w14:paraId="7FB5CB35" w14:textId="2478AF87" w:rsidR="002C3715" w:rsidRDefault="002C3715" w:rsidP="00B84E17">
      <w:r w:rsidRPr="00B527D0">
        <w:t xml:space="preserve">In case of 1.4 MHz or 3 MHz system bandwidth, the RBG size is re-used from legacy and the PRG size is 2 for </w:t>
      </w:r>
      <w:r w:rsidR="005125E6">
        <w:t>sTTI</w:t>
      </w:r>
      <w:r w:rsidRPr="00B527D0">
        <w:t xml:space="preserve"> operation. </w:t>
      </w:r>
      <w:r w:rsidR="00380C5F" w:rsidRPr="00B527D0">
        <w:t>Therefore,</w:t>
      </w:r>
      <w:r w:rsidRPr="00B527D0">
        <w:t xml:space="preserve"> the subband size is as follow</w:t>
      </w:r>
    </w:p>
    <w:p w14:paraId="44F2A303" w14:textId="77777777" w:rsidR="00E0054D" w:rsidRPr="00B527D0" w:rsidRDefault="00E0054D" w:rsidP="00B84E17"/>
    <w:p w14:paraId="310F679C" w14:textId="77107351" w:rsidR="002549D5" w:rsidRPr="00B527D0" w:rsidRDefault="002549D5" w:rsidP="002549D5">
      <w:pPr>
        <w:pStyle w:val="Caption"/>
        <w:keepNext/>
        <w:rPr>
          <w:rFonts w:cs="Arial"/>
        </w:rPr>
      </w:pPr>
      <w:bookmarkStart w:id="178" w:name="_Ref497118646"/>
      <w:r w:rsidRPr="00B527D0">
        <w:rPr>
          <w:rFonts w:cs="Arial"/>
        </w:rPr>
        <w:t xml:space="preserve">Table </w:t>
      </w:r>
      <w:r w:rsidRPr="00B527D0">
        <w:rPr>
          <w:rFonts w:cs="Arial"/>
        </w:rPr>
        <w:fldChar w:fldCharType="begin"/>
      </w:r>
      <w:r w:rsidRPr="00B527D0">
        <w:rPr>
          <w:rFonts w:cs="Arial"/>
        </w:rPr>
        <w:instrText xml:space="preserve"> SEQ Table \* ARABIC </w:instrText>
      </w:r>
      <w:r w:rsidRPr="00B527D0">
        <w:rPr>
          <w:rFonts w:cs="Arial"/>
        </w:rPr>
        <w:fldChar w:fldCharType="separate"/>
      </w:r>
      <w:r w:rsidR="00D61808">
        <w:rPr>
          <w:rFonts w:cs="Arial"/>
          <w:noProof/>
        </w:rPr>
        <w:t>4</w:t>
      </w:r>
      <w:r w:rsidRPr="00B527D0">
        <w:rPr>
          <w:rFonts w:cs="Arial"/>
        </w:rPr>
        <w:fldChar w:fldCharType="end"/>
      </w:r>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1"/>
        <w:gridCol w:w="1055"/>
        <w:gridCol w:w="1177"/>
      </w:tblGrid>
      <w:tr w:rsidR="002C3715" w:rsidRPr="00B527D0" w14:paraId="34D28A04" w14:textId="77777777" w:rsidTr="00E22DD5">
        <w:trPr>
          <w:jc w:val="center"/>
        </w:trPr>
        <w:tc>
          <w:tcPr>
            <w:tcW w:w="3311" w:type="dxa"/>
            <w:shd w:val="clear" w:color="auto" w:fill="D9E2F3"/>
          </w:tcPr>
          <w:p w14:paraId="7C419A59" w14:textId="77777777" w:rsidR="002C3715" w:rsidRPr="00B527D0" w:rsidRDefault="002C3715" w:rsidP="00E22DD5">
            <w:pPr>
              <w:jc w:val="center"/>
              <w:rPr>
                <w:rFonts w:cs="Arial"/>
                <w:b/>
                <w:iCs/>
                <w:sz w:val="14"/>
              </w:rPr>
            </w:pPr>
            <w:r w:rsidRPr="00B527D0">
              <w:rPr>
                <w:rFonts w:cs="Arial"/>
                <w:b/>
                <w:iCs/>
                <w:sz w:val="14"/>
              </w:rPr>
              <w:t>Type</w:t>
            </w:r>
          </w:p>
        </w:tc>
        <w:tc>
          <w:tcPr>
            <w:tcW w:w="1055" w:type="dxa"/>
            <w:shd w:val="clear" w:color="auto" w:fill="D9E2F3"/>
          </w:tcPr>
          <w:p w14:paraId="7BCB5053" w14:textId="77777777" w:rsidR="002C3715" w:rsidRPr="00B527D0" w:rsidRDefault="002C3715" w:rsidP="00E22DD5">
            <w:pPr>
              <w:jc w:val="center"/>
              <w:rPr>
                <w:rFonts w:cs="Arial"/>
                <w:b/>
                <w:iCs/>
                <w:sz w:val="14"/>
              </w:rPr>
            </w:pPr>
            <w:r w:rsidRPr="00B527D0">
              <w:rPr>
                <w:rFonts w:cs="Arial"/>
                <w:b/>
                <w:iCs/>
                <w:sz w:val="14"/>
              </w:rPr>
              <w:t>1.4 MHz</w:t>
            </w:r>
          </w:p>
        </w:tc>
        <w:tc>
          <w:tcPr>
            <w:tcW w:w="1177" w:type="dxa"/>
            <w:shd w:val="clear" w:color="auto" w:fill="D9E2F3"/>
          </w:tcPr>
          <w:p w14:paraId="41D57411" w14:textId="77777777" w:rsidR="002C3715" w:rsidRPr="00B527D0" w:rsidRDefault="002C3715" w:rsidP="00E22DD5">
            <w:pPr>
              <w:jc w:val="center"/>
              <w:rPr>
                <w:rFonts w:cs="Arial"/>
                <w:b/>
                <w:iCs/>
                <w:sz w:val="14"/>
              </w:rPr>
            </w:pPr>
            <w:r w:rsidRPr="00B527D0">
              <w:rPr>
                <w:rFonts w:cs="Arial"/>
                <w:b/>
                <w:iCs/>
                <w:sz w:val="14"/>
              </w:rPr>
              <w:t>3 MHz</w:t>
            </w:r>
          </w:p>
        </w:tc>
      </w:tr>
      <w:tr w:rsidR="002C3715" w:rsidRPr="00B527D0" w14:paraId="183E97F7" w14:textId="77777777" w:rsidTr="00E22DD5">
        <w:trPr>
          <w:jc w:val="center"/>
        </w:trPr>
        <w:tc>
          <w:tcPr>
            <w:tcW w:w="3311" w:type="dxa"/>
          </w:tcPr>
          <w:p w14:paraId="0C058D21" w14:textId="77777777" w:rsidR="002C3715" w:rsidRPr="00B527D0" w:rsidRDefault="002C3715" w:rsidP="00E22DD5">
            <w:pPr>
              <w:jc w:val="center"/>
              <w:rPr>
                <w:rFonts w:cs="Arial"/>
                <w:iCs/>
                <w:sz w:val="14"/>
              </w:rPr>
            </w:pPr>
            <w:r w:rsidRPr="00B527D0">
              <w:rPr>
                <w:rFonts w:cs="Arial"/>
                <w:iCs/>
                <w:sz w:val="14"/>
              </w:rPr>
              <w:t>sRBG</w:t>
            </w:r>
          </w:p>
        </w:tc>
        <w:tc>
          <w:tcPr>
            <w:tcW w:w="1055" w:type="dxa"/>
            <w:shd w:val="clear" w:color="auto" w:fill="auto"/>
          </w:tcPr>
          <w:p w14:paraId="4C03DE04" w14:textId="77777777" w:rsidR="002C3715" w:rsidRPr="00B527D0" w:rsidRDefault="002C3715" w:rsidP="00E22DD5">
            <w:pPr>
              <w:jc w:val="center"/>
              <w:rPr>
                <w:rFonts w:cs="Arial"/>
                <w:iCs/>
                <w:sz w:val="14"/>
              </w:rPr>
            </w:pPr>
            <w:r w:rsidRPr="00B527D0">
              <w:rPr>
                <w:rFonts w:cs="Arial"/>
                <w:iCs/>
                <w:sz w:val="14"/>
              </w:rPr>
              <w:t>6</w:t>
            </w:r>
          </w:p>
        </w:tc>
        <w:tc>
          <w:tcPr>
            <w:tcW w:w="1177" w:type="dxa"/>
            <w:shd w:val="clear" w:color="auto" w:fill="auto"/>
          </w:tcPr>
          <w:p w14:paraId="4B690DAE" w14:textId="77777777" w:rsidR="002C3715" w:rsidRPr="00B527D0" w:rsidRDefault="002C3715" w:rsidP="00E22DD5">
            <w:pPr>
              <w:jc w:val="center"/>
              <w:rPr>
                <w:rFonts w:cs="Arial"/>
                <w:iCs/>
                <w:sz w:val="14"/>
              </w:rPr>
            </w:pPr>
            <w:r w:rsidRPr="00B527D0">
              <w:rPr>
                <w:rFonts w:cs="Arial"/>
                <w:iCs/>
                <w:sz w:val="14"/>
              </w:rPr>
              <w:t>6</w:t>
            </w:r>
          </w:p>
        </w:tc>
      </w:tr>
      <w:tr w:rsidR="002C3715" w:rsidRPr="00B527D0" w14:paraId="424AF0F1" w14:textId="77777777" w:rsidTr="00E22DD5">
        <w:trPr>
          <w:jc w:val="center"/>
        </w:trPr>
        <w:tc>
          <w:tcPr>
            <w:tcW w:w="3311" w:type="dxa"/>
          </w:tcPr>
          <w:p w14:paraId="3458AAB5" w14:textId="77777777" w:rsidR="002C3715" w:rsidRPr="00B527D0" w:rsidRDefault="002C3715" w:rsidP="00E22DD5">
            <w:pPr>
              <w:jc w:val="center"/>
              <w:rPr>
                <w:rFonts w:cs="Arial"/>
                <w:iCs/>
                <w:sz w:val="14"/>
              </w:rPr>
            </w:pPr>
            <w:r w:rsidRPr="00B527D0">
              <w:rPr>
                <w:rFonts w:cs="Arial"/>
                <w:iCs/>
                <w:sz w:val="14"/>
              </w:rPr>
              <w:t>Subband size (reporting modes 3-x)</w:t>
            </w:r>
          </w:p>
        </w:tc>
        <w:tc>
          <w:tcPr>
            <w:tcW w:w="1055" w:type="dxa"/>
            <w:shd w:val="clear" w:color="auto" w:fill="auto"/>
          </w:tcPr>
          <w:p w14:paraId="4899C2A3" w14:textId="77777777" w:rsidR="002C3715" w:rsidRPr="00B527D0" w:rsidRDefault="002C3715" w:rsidP="00E22DD5">
            <w:pPr>
              <w:jc w:val="center"/>
              <w:rPr>
                <w:rFonts w:cs="Arial"/>
                <w:iCs/>
                <w:sz w:val="14"/>
              </w:rPr>
            </w:pPr>
            <w:r w:rsidRPr="00B527D0">
              <w:rPr>
                <w:rFonts w:cs="Arial"/>
                <w:iCs/>
                <w:sz w:val="14"/>
              </w:rPr>
              <w:t>NA</w:t>
            </w:r>
          </w:p>
        </w:tc>
        <w:tc>
          <w:tcPr>
            <w:tcW w:w="1177" w:type="dxa"/>
            <w:shd w:val="clear" w:color="auto" w:fill="auto"/>
          </w:tcPr>
          <w:p w14:paraId="4DCCBBBC" w14:textId="77777777" w:rsidR="002C3715" w:rsidRPr="00B527D0" w:rsidRDefault="002C3715" w:rsidP="00E22DD5">
            <w:pPr>
              <w:jc w:val="center"/>
              <w:rPr>
                <w:rFonts w:cs="Arial"/>
                <w:iCs/>
                <w:sz w:val="14"/>
              </w:rPr>
            </w:pPr>
            <w:r w:rsidRPr="00B527D0">
              <w:rPr>
                <w:rFonts w:cs="Arial"/>
                <w:iCs/>
                <w:sz w:val="14"/>
              </w:rPr>
              <w:t>12</w:t>
            </w:r>
          </w:p>
        </w:tc>
      </w:tr>
      <w:tr w:rsidR="002C3715" w:rsidRPr="00B527D0" w14:paraId="72D8689B" w14:textId="77777777" w:rsidTr="00E22DD5">
        <w:trPr>
          <w:jc w:val="center"/>
        </w:trPr>
        <w:tc>
          <w:tcPr>
            <w:tcW w:w="3311" w:type="dxa"/>
          </w:tcPr>
          <w:p w14:paraId="500A18A1" w14:textId="77777777" w:rsidR="002C3715" w:rsidRPr="00B527D0" w:rsidRDefault="002C3715" w:rsidP="00E22DD5">
            <w:pPr>
              <w:jc w:val="center"/>
              <w:rPr>
                <w:rFonts w:cs="Arial"/>
                <w:iCs/>
                <w:sz w:val="14"/>
              </w:rPr>
            </w:pPr>
            <w:r w:rsidRPr="00B527D0">
              <w:rPr>
                <w:rFonts w:cs="Arial"/>
                <w:iCs/>
                <w:sz w:val="14"/>
              </w:rPr>
              <w:t>Subband size (reporting mode 2x-)</w:t>
            </w:r>
          </w:p>
        </w:tc>
        <w:tc>
          <w:tcPr>
            <w:tcW w:w="1055" w:type="dxa"/>
            <w:shd w:val="clear" w:color="auto" w:fill="auto"/>
          </w:tcPr>
          <w:p w14:paraId="2E5FB27B" w14:textId="77777777" w:rsidR="002C3715" w:rsidRPr="00B527D0" w:rsidRDefault="002C3715" w:rsidP="00E22DD5">
            <w:pPr>
              <w:jc w:val="center"/>
              <w:rPr>
                <w:rFonts w:cs="Arial"/>
                <w:iCs/>
                <w:sz w:val="14"/>
              </w:rPr>
            </w:pPr>
            <w:r w:rsidRPr="00B527D0">
              <w:rPr>
                <w:rFonts w:cs="Arial"/>
                <w:iCs/>
                <w:sz w:val="14"/>
              </w:rPr>
              <w:t>NA</w:t>
            </w:r>
          </w:p>
        </w:tc>
        <w:tc>
          <w:tcPr>
            <w:tcW w:w="1177" w:type="dxa"/>
            <w:shd w:val="clear" w:color="auto" w:fill="auto"/>
          </w:tcPr>
          <w:p w14:paraId="284ED1EE" w14:textId="77777777" w:rsidR="002C3715" w:rsidRPr="00B527D0" w:rsidRDefault="002C3715" w:rsidP="00E22DD5">
            <w:pPr>
              <w:jc w:val="center"/>
              <w:rPr>
                <w:rFonts w:cs="Arial"/>
                <w:iCs/>
                <w:sz w:val="14"/>
              </w:rPr>
            </w:pPr>
            <w:r w:rsidRPr="00B527D0">
              <w:rPr>
                <w:rFonts w:cs="Arial"/>
                <w:iCs/>
                <w:sz w:val="14"/>
              </w:rPr>
              <w:t>6</w:t>
            </w:r>
          </w:p>
        </w:tc>
      </w:tr>
    </w:tbl>
    <w:p w14:paraId="07CA613E" w14:textId="7331F7A5" w:rsidR="002C3715" w:rsidRPr="00B527D0" w:rsidRDefault="002C3715">
      <w:pPr>
        <w:pStyle w:val="Observation"/>
        <w:numPr>
          <w:ilvl w:val="0"/>
          <w:numId w:val="0"/>
        </w:numPr>
        <w:rPr>
          <w:rFonts w:cs="Arial"/>
          <w:b w:val="0"/>
        </w:rPr>
      </w:pPr>
      <w:r w:rsidRPr="00B527D0">
        <w:rPr>
          <w:rFonts w:eastAsiaTheme="minorEastAsia" w:cs="Arial"/>
          <w:color w:val="0070C0"/>
        </w:rPr>
        <w:t xml:space="preserve"> </w:t>
      </w:r>
      <w:r w:rsidRPr="00B527D0">
        <w:rPr>
          <w:rFonts w:cs="Arial"/>
          <w:color w:val="0070C0"/>
        </w:rPr>
        <w:t xml:space="preserve"> </w:t>
      </w:r>
    </w:p>
    <w:p w14:paraId="1D8E4733" w14:textId="27504506" w:rsidR="00711EF1" w:rsidRPr="00B527D0" w:rsidRDefault="00711EF1" w:rsidP="00711EF1">
      <w:pPr>
        <w:pStyle w:val="Observation"/>
        <w:rPr>
          <w:rFonts w:cs="Arial"/>
          <w:lang w:val="en-US"/>
        </w:rPr>
      </w:pPr>
      <w:bookmarkStart w:id="179" w:name="_Toc496793980"/>
      <w:bookmarkStart w:id="180" w:name="_Toc496796005"/>
      <w:bookmarkStart w:id="181" w:name="_Toc497117067"/>
      <w:bookmarkStart w:id="182" w:name="_Toc497117084"/>
      <w:bookmarkStart w:id="183" w:name="_Toc497214014"/>
      <w:bookmarkStart w:id="184" w:name="_Toc497214109"/>
      <w:bookmarkStart w:id="185" w:name="_Toc497214183"/>
      <w:bookmarkStart w:id="186" w:name="_Toc497292499"/>
      <w:bookmarkStart w:id="187" w:name="_Toc497809995"/>
      <w:bookmarkStart w:id="188" w:name="_Toc497810105"/>
      <w:bookmarkStart w:id="189" w:name="_Toc497826632"/>
      <w:bookmarkStart w:id="190" w:name="_Toc497985257"/>
      <w:bookmarkStart w:id="191" w:name="_Toc498680858"/>
      <w:bookmarkStart w:id="192" w:name="_Toc498681731"/>
      <w:r w:rsidRPr="00B527D0">
        <w:rPr>
          <w:rFonts w:cs="Arial"/>
          <w:lang w:val="en-US"/>
        </w:rPr>
        <w:t>The current definition of subbands needs to be extended to account for the scaled granularity.</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4313361" w14:textId="4BD6DB74" w:rsidR="005607AE" w:rsidRDefault="00711EF1" w:rsidP="002549D5">
      <w:pPr>
        <w:pStyle w:val="Caption"/>
        <w:ind w:left="1695" w:hanging="1695"/>
        <w:jc w:val="both"/>
        <w:rPr>
          <w:rFonts w:cs="Arial"/>
        </w:rPr>
      </w:pPr>
      <w:bookmarkStart w:id="193" w:name="_Toc496793986"/>
      <w:bookmarkStart w:id="194" w:name="_Toc496796011"/>
      <w:bookmarkStart w:id="195" w:name="_Toc497117072"/>
      <w:bookmarkStart w:id="196" w:name="_Toc497117089"/>
      <w:bookmarkStart w:id="197" w:name="_Toc497214019"/>
      <w:bookmarkStart w:id="198" w:name="_Toc497214114"/>
      <w:bookmarkStart w:id="199" w:name="_Toc497214189"/>
      <w:bookmarkStart w:id="200" w:name="_Toc497292505"/>
      <w:bookmarkStart w:id="201" w:name="_Toc497810000"/>
      <w:bookmarkStart w:id="202" w:name="_Toc497810111"/>
      <w:bookmarkStart w:id="203" w:name="_Toc497826638"/>
      <w:bookmarkStart w:id="204" w:name="_Toc497985264"/>
      <w:bookmarkStart w:id="205" w:name="_Toc498680864"/>
      <w:bookmarkStart w:id="206" w:name="_Toc498681737"/>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3</w:t>
      </w:r>
      <w:r w:rsidRPr="00B527D0">
        <w:rPr>
          <w:rFonts w:cs="Arial"/>
        </w:rPr>
        <w:fldChar w:fldCharType="end"/>
      </w:r>
      <w:r w:rsidRPr="00B527D0">
        <w:rPr>
          <w:rFonts w:cs="Arial"/>
        </w:rPr>
        <w:tab/>
      </w:r>
      <w:bookmarkEnd w:id="193"/>
      <w:r w:rsidRPr="00B527D0">
        <w:rPr>
          <w:rFonts w:cs="Arial"/>
        </w:rPr>
        <w:t xml:space="preserve">Subband granularity is increased </w:t>
      </w:r>
      <w:r w:rsidR="002C3715" w:rsidRPr="00B527D0">
        <w:rPr>
          <w:rFonts w:cs="Arial"/>
        </w:rPr>
        <w:t xml:space="preserve">to account for the sRBG size as shown in </w:t>
      </w:r>
      <w:bookmarkEnd w:id="194"/>
      <w:bookmarkEnd w:id="195"/>
      <w:bookmarkEnd w:id="196"/>
      <w:r w:rsidR="002549D5" w:rsidRPr="00B527D0">
        <w:rPr>
          <w:rFonts w:cs="Arial"/>
        </w:rPr>
        <w:fldChar w:fldCharType="begin"/>
      </w:r>
      <w:r w:rsidR="002549D5" w:rsidRPr="00B527D0">
        <w:rPr>
          <w:rFonts w:cs="Arial"/>
        </w:rPr>
        <w:instrText xml:space="preserve"> REF _Ref497118640 \h </w:instrText>
      </w:r>
      <w:r w:rsidR="00B527D0">
        <w:rPr>
          <w:rFonts w:cs="Arial"/>
        </w:rPr>
        <w:instrText xml:space="preserve"> \* MERGEFORMAT </w:instrText>
      </w:r>
      <w:r w:rsidR="002549D5" w:rsidRPr="00B527D0">
        <w:rPr>
          <w:rFonts w:cs="Arial"/>
        </w:rPr>
      </w:r>
      <w:r w:rsidR="002549D5" w:rsidRPr="00B527D0">
        <w:rPr>
          <w:rFonts w:cs="Arial"/>
        </w:rPr>
        <w:fldChar w:fldCharType="separate"/>
      </w:r>
      <w:r w:rsidR="00D61808" w:rsidRPr="00B527D0">
        <w:rPr>
          <w:rFonts w:cs="Arial"/>
        </w:rPr>
        <w:t xml:space="preserve">Table </w:t>
      </w:r>
      <w:r w:rsidR="00D61808">
        <w:rPr>
          <w:rFonts w:cs="Arial"/>
          <w:noProof/>
        </w:rPr>
        <w:t>3</w:t>
      </w:r>
      <w:r w:rsidR="002549D5" w:rsidRPr="00B527D0">
        <w:rPr>
          <w:rFonts w:cs="Arial"/>
        </w:rPr>
        <w:fldChar w:fldCharType="end"/>
      </w:r>
      <w:r w:rsidR="002549D5" w:rsidRPr="00B527D0">
        <w:rPr>
          <w:rFonts w:cs="Arial"/>
        </w:rPr>
        <w:t xml:space="preserve"> and </w:t>
      </w:r>
      <w:r w:rsidR="002549D5" w:rsidRPr="00B527D0">
        <w:rPr>
          <w:rFonts w:cs="Arial"/>
        </w:rPr>
        <w:fldChar w:fldCharType="begin"/>
      </w:r>
      <w:r w:rsidR="002549D5" w:rsidRPr="00B527D0">
        <w:rPr>
          <w:rFonts w:cs="Arial"/>
        </w:rPr>
        <w:instrText xml:space="preserve"> REF _Ref497118646 \h </w:instrText>
      </w:r>
      <w:r w:rsidR="00B527D0">
        <w:rPr>
          <w:rFonts w:cs="Arial"/>
        </w:rPr>
        <w:instrText xml:space="preserve"> \* MERGEFORMAT </w:instrText>
      </w:r>
      <w:r w:rsidR="002549D5" w:rsidRPr="00B527D0">
        <w:rPr>
          <w:rFonts w:cs="Arial"/>
        </w:rPr>
      </w:r>
      <w:r w:rsidR="002549D5" w:rsidRPr="00B527D0">
        <w:rPr>
          <w:rFonts w:cs="Arial"/>
        </w:rPr>
        <w:fldChar w:fldCharType="separate"/>
      </w:r>
      <w:r w:rsidR="00D61808" w:rsidRPr="00B527D0">
        <w:rPr>
          <w:rFonts w:cs="Arial"/>
        </w:rPr>
        <w:t xml:space="preserve">Table </w:t>
      </w:r>
      <w:r w:rsidR="00D61808">
        <w:rPr>
          <w:rFonts w:cs="Arial"/>
          <w:noProof/>
        </w:rPr>
        <w:t>4</w:t>
      </w:r>
      <w:r w:rsidR="002549D5" w:rsidRPr="00B527D0">
        <w:rPr>
          <w:rFonts w:cs="Arial"/>
        </w:rPr>
        <w:fldChar w:fldCharType="end"/>
      </w:r>
      <w:r w:rsidR="002549D5" w:rsidRPr="00B527D0">
        <w:rPr>
          <w:rFonts w:cs="Arial"/>
        </w:rPr>
        <w:t>.</w:t>
      </w:r>
      <w:bookmarkEnd w:id="197"/>
      <w:bookmarkEnd w:id="198"/>
      <w:bookmarkEnd w:id="199"/>
      <w:bookmarkEnd w:id="200"/>
      <w:bookmarkEnd w:id="201"/>
      <w:bookmarkEnd w:id="202"/>
      <w:bookmarkEnd w:id="203"/>
      <w:bookmarkEnd w:id="204"/>
      <w:bookmarkEnd w:id="205"/>
      <w:bookmarkEnd w:id="206"/>
      <w:r w:rsidR="002549D5" w:rsidRPr="00B527D0">
        <w:rPr>
          <w:rFonts w:cs="Arial"/>
        </w:rPr>
        <w:t xml:space="preserve"> </w:t>
      </w:r>
    </w:p>
    <w:p w14:paraId="25C070ED" w14:textId="77777777" w:rsidR="00E0054D" w:rsidRPr="002D2619" w:rsidRDefault="00E0054D" w:rsidP="00EB3C85"/>
    <w:p w14:paraId="777237F8" w14:textId="2E08A14A" w:rsidR="00014AA4" w:rsidRPr="00B527D0" w:rsidRDefault="00014AA4" w:rsidP="00014AA4">
      <w:pPr>
        <w:pStyle w:val="Heading3"/>
        <w:rPr>
          <w:lang w:val="en-US"/>
        </w:rPr>
      </w:pPr>
      <w:r w:rsidRPr="00B527D0">
        <w:rPr>
          <w:lang w:val="en-US"/>
        </w:rPr>
        <w:t xml:space="preserve">CSI </w:t>
      </w:r>
      <w:r w:rsidR="00780429" w:rsidRPr="00B527D0">
        <w:rPr>
          <w:lang w:val="en-US"/>
        </w:rPr>
        <w:t xml:space="preserve">computation and </w:t>
      </w:r>
      <w:r w:rsidRPr="00B527D0">
        <w:rPr>
          <w:lang w:val="en-US"/>
        </w:rPr>
        <w:t>reference subframe considerations</w:t>
      </w:r>
    </w:p>
    <w:p w14:paraId="50F425AA" w14:textId="302D46C4" w:rsidR="002D0BAF" w:rsidRDefault="00B527D0" w:rsidP="00163A8C">
      <w:pPr>
        <w:rPr>
          <w:rFonts w:cs="Arial"/>
          <w:lang w:eastAsia="x-none"/>
        </w:rPr>
      </w:pPr>
      <w:r>
        <w:rPr>
          <w:rFonts w:cs="Arial"/>
          <w:lang w:val="en-US"/>
        </w:rPr>
        <w:t xml:space="preserve">the UE sends a CQI that reports a TBS and Modulation combination that will produce a transport block error probability of no more than 10 percent. However, the current CQI mapping table assume a subframe based PDSCH for the TBS. </w:t>
      </w:r>
      <w:r w:rsidR="00A84655" w:rsidRPr="00B527D0">
        <w:rPr>
          <w:rFonts w:cs="Arial"/>
          <w:lang w:eastAsia="x-none"/>
        </w:rPr>
        <w:t xml:space="preserve">Under the 2-symbol </w:t>
      </w:r>
      <w:r w:rsidR="005125E6">
        <w:rPr>
          <w:rFonts w:cs="Arial"/>
          <w:lang w:eastAsia="x-none"/>
        </w:rPr>
        <w:t>sTTI</w:t>
      </w:r>
      <w:r w:rsidR="00A84655" w:rsidRPr="00B527D0">
        <w:rPr>
          <w:rFonts w:cs="Arial"/>
          <w:lang w:eastAsia="x-none"/>
        </w:rPr>
        <w:t xml:space="preserve"> operation, the </w:t>
      </w:r>
      <w:r w:rsidR="005125E6">
        <w:rPr>
          <w:rFonts w:cs="Arial"/>
          <w:lang w:eastAsia="x-none"/>
        </w:rPr>
        <w:t>sTTI</w:t>
      </w:r>
      <w:r w:rsidR="00A84655" w:rsidRPr="00B527D0">
        <w:rPr>
          <w:rFonts w:cs="Arial"/>
          <w:lang w:eastAsia="x-none"/>
        </w:rPr>
        <w:t xml:space="preserve"> reference resource is defined based on the CSI reporting timing, and can be a 2-symbol or a 3-symbol </w:t>
      </w:r>
      <w:r w:rsidR="005125E6">
        <w:rPr>
          <w:rFonts w:cs="Arial"/>
          <w:lang w:eastAsia="x-none"/>
        </w:rPr>
        <w:t>sTTI</w:t>
      </w:r>
      <w:r w:rsidR="00A84655" w:rsidRPr="00B527D0">
        <w:rPr>
          <w:rFonts w:cs="Arial"/>
          <w:lang w:eastAsia="x-none"/>
        </w:rPr>
        <w:t xml:space="preserve">. If based on the timing, a 3-symbol </w:t>
      </w:r>
      <w:r w:rsidR="005125E6">
        <w:rPr>
          <w:rFonts w:cs="Arial"/>
          <w:lang w:eastAsia="x-none"/>
        </w:rPr>
        <w:t>sTTI</w:t>
      </w:r>
      <w:r w:rsidR="00A84655" w:rsidRPr="00B527D0">
        <w:rPr>
          <w:rFonts w:cs="Arial"/>
          <w:lang w:eastAsia="x-none"/>
        </w:rPr>
        <w:t xml:space="preserve"> is a reference resource, for CSI computation, TBS scaling shall be performed to account for the payload difference. </w:t>
      </w:r>
      <w:r w:rsidR="00163A8C" w:rsidRPr="00B527D0">
        <w:rPr>
          <w:rFonts w:cs="Arial"/>
          <w:lang w:eastAsia="x-none"/>
        </w:rPr>
        <w:t xml:space="preserve"> </w:t>
      </w:r>
    </w:p>
    <w:p w14:paraId="0156CF62" w14:textId="38DA3457" w:rsidR="00A84655" w:rsidRDefault="00B527D0" w:rsidP="00163A8C">
      <w:pPr>
        <w:rPr>
          <w:rFonts w:cs="Arial"/>
          <w:lang w:eastAsia="x-none"/>
        </w:rPr>
      </w:pPr>
      <w:r>
        <w:rPr>
          <w:rFonts w:cs="Arial"/>
          <w:lang w:eastAsia="x-none"/>
        </w:rPr>
        <w:t xml:space="preserve">Excluding reference REs and sPDCCH REs, the difference between a 2os and 3os is 30%, that is to say, the TBS reported for a 3os should be </w:t>
      </w:r>
      <w:r w:rsidR="00380C5F">
        <w:rPr>
          <w:rFonts w:cs="Arial"/>
          <w:lang w:eastAsia="x-none"/>
        </w:rPr>
        <w:t>multiplied</w:t>
      </w:r>
      <w:r>
        <w:rPr>
          <w:rFonts w:cs="Arial"/>
          <w:lang w:eastAsia="x-none"/>
        </w:rPr>
        <w:t xml:space="preserve"> by a factor of X = 2/3.</w:t>
      </w:r>
    </w:p>
    <w:p w14:paraId="7C27E26E" w14:textId="0A9DB95F" w:rsidR="00ED6A54" w:rsidRPr="00ED6A54" w:rsidRDefault="00ED6A54" w:rsidP="00163A8C">
      <w:pPr>
        <w:rPr>
          <w:rFonts w:cs="Arial"/>
          <w:lang w:eastAsia="x-none"/>
        </w:rPr>
      </w:pPr>
      <w:r>
        <w:rPr>
          <w:rFonts w:cs="Arial"/>
          <w:lang w:eastAsia="x-none"/>
        </w:rPr>
        <w:t xml:space="preserve">However, another alternative to scaling is to exclude the 3os </w:t>
      </w:r>
      <w:r w:rsidR="005125E6">
        <w:rPr>
          <w:rFonts w:cs="Arial"/>
          <w:lang w:eastAsia="x-none"/>
        </w:rPr>
        <w:t>sTTI</w:t>
      </w:r>
      <w:r>
        <w:rPr>
          <w:rFonts w:cs="Arial"/>
          <w:lang w:eastAsia="x-none"/>
        </w:rPr>
        <w:t xml:space="preserve"> from the valid </w:t>
      </w:r>
      <w:r w:rsidR="005125E6">
        <w:rPr>
          <w:rFonts w:cs="Arial"/>
          <w:lang w:eastAsia="x-none"/>
        </w:rPr>
        <w:t>sTTI</w:t>
      </w:r>
      <w:r>
        <w:rPr>
          <w:rFonts w:cs="Arial"/>
          <w:lang w:eastAsia="x-none"/>
        </w:rPr>
        <w:t xml:space="preserve">s for </w:t>
      </w:r>
      <w:r w:rsidR="00DA67A4">
        <w:rPr>
          <w:rFonts w:cs="Arial"/>
          <w:lang w:eastAsia="x-none"/>
        </w:rPr>
        <w:t xml:space="preserve">CSI </w:t>
      </w:r>
      <w:r>
        <w:rPr>
          <w:rFonts w:cs="Arial"/>
          <w:lang w:eastAsia="x-none"/>
        </w:rPr>
        <w:t xml:space="preserve">feedback calculation. There is only 1 or 2 </w:t>
      </w:r>
      <w:r w:rsidR="005125E6">
        <w:rPr>
          <w:rFonts w:cs="Arial"/>
          <w:lang w:eastAsia="x-none"/>
        </w:rPr>
        <w:t>sTTI</w:t>
      </w:r>
      <w:r>
        <w:rPr>
          <w:rFonts w:cs="Arial"/>
          <w:lang w:eastAsia="x-none"/>
        </w:rPr>
        <w:t xml:space="preserve">s for each subframe with 3 symbols and one could exclude them from the group of valid CSI references. </w:t>
      </w:r>
    </w:p>
    <w:p w14:paraId="13D63572" w14:textId="616C7DCD" w:rsidR="00ED6A54" w:rsidRPr="00EB3C85" w:rsidRDefault="00CD2831" w:rsidP="00EB3C85">
      <w:pPr>
        <w:pStyle w:val="Observation"/>
        <w:rPr>
          <w:rFonts w:cs="Arial"/>
          <w:b w:val="0"/>
          <w:lang w:eastAsia="x-none"/>
        </w:rPr>
      </w:pPr>
      <w:bookmarkStart w:id="207" w:name="_Toc498680859"/>
      <w:bookmarkStart w:id="208" w:name="_Toc497985258"/>
      <w:bookmarkStart w:id="209" w:name="_Toc498681732"/>
      <w:r w:rsidRPr="002D2619">
        <w:rPr>
          <w:rFonts w:cs="Arial"/>
          <w:lang w:eastAsia="x-none"/>
        </w:rPr>
        <w:t xml:space="preserve">There </w:t>
      </w:r>
      <w:r w:rsidR="00ED6A54" w:rsidRPr="002D2619">
        <w:rPr>
          <w:rFonts w:cs="Arial"/>
          <w:lang w:eastAsia="x-none"/>
        </w:rPr>
        <w:t xml:space="preserve">are enough 2os </w:t>
      </w:r>
      <w:r w:rsidR="005125E6" w:rsidRPr="002D2619">
        <w:rPr>
          <w:rFonts w:cs="Arial"/>
          <w:lang w:eastAsia="x-none"/>
        </w:rPr>
        <w:t>sTTI</w:t>
      </w:r>
      <w:r w:rsidR="00ED6A54" w:rsidRPr="002D2619">
        <w:rPr>
          <w:rFonts w:cs="Arial"/>
          <w:lang w:eastAsia="x-none"/>
        </w:rPr>
        <w:t xml:space="preserve"> to be reference for CSI feedback</w:t>
      </w:r>
      <w:bookmarkEnd w:id="207"/>
      <w:bookmarkEnd w:id="208"/>
      <w:bookmarkEnd w:id="209"/>
    </w:p>
    <w:p w14:paraId="640AC47C" w14:textId="58AE44DA" w:rsidR="00E0054D" w:rsidRDefault="00E0054D" w:rsidP="002D0BAF">
      <w:pPr>
        <w:pStyle w:val="Caption"/>
        <w:jc w:val="left"/>
        <w:rPr>
          <w:rFonts w:cs="Arial"/>
        </w:rPr>
      </w:pPr>
      <w:bookmarkStart w:id="210" w:name="_Toc497985265"/>
      <w:bookmarkStart w:id="211" w:name="_Toc498680865"/>
      <w:bookmarkStart w:id="212" w:name="_Toc498681738"/>
      <w:bookmarkStart w:id="213" w:name="_Toc497214020"/>
      <w:bookmarkStart w:id="214" w:name="_Toc497214115"/>
      <w:bookmarkStart w:id="215" w:name="_Toc497214190"/>
      <w:bookmarkStart w:id="216" w:name="_Toc497292506"/>
      <w:bookmarkStart w:id="217" w:name="_Toc497810001"/>
      <w:bookmarkStart w:id="218" w:name="_Toc497810112"/>
      <w:bookmarkStart w:id="219" w:name="_Toc497826639"/>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4</w:t>
      </w:r>
      <w:r w:rsidRPr="00B527D0">
        <w:rPr>
          <w:rFonts w:cs="Arial"/>
        </w:rPr>
        <w:fldChar w:fldCharType="end"/>
      </w:r>
      <w:r w:rsidRPr="00B527D0">
        <w:rPr>
          <w:rFonts w:cs="Arial"/>
        </w:rPr>
        <w:t xml:space="preserve"> </w:t>
      </w:r>
      <w:r w:rsidRPr="00E0054D">
        <w:rPr>
          <w:rFonts w:cs="Arial"/>
        </w:rPr>
        <w:t>Only 2os sTTI are valid CSI reference sTTIs for 2/3os.</w:t>
      </w:r>
      <w:bookmarkEnd w:id="210"/>
      <w:bookmarkEnd w:id="211"/>
      <w:bookmarkEnd w:id="212"/>
    </w:p>
    <w:p w14:paraId="20E82E92" w14:textId="39719BEE" w:rsidR="002D0BAF" w:rsidRPr="00B527D0" w:rsidRDefault="002D0BAF" w:rsidP="002D0BAF">
      <w:pPr>
        <w:pStyle w:val="Caption"/>
        <w:jc w:val="left"/>
        <w:rPr>
          <w:rFonts w:cs="Arial"/>
        </w:rPr>
      </w:pPr>
      <w:bookmarkStart w:id="220" w:name="_Toc497985266"/>
      <w:bookmarkStart w:id="221" w:name="_Toc498680866"/>
      <w:bookmarkStart w:id="222" w:name="_Toc498681739"/>
      <w:r w:rsidRPr="00B527D0">
        <w:rPr>
          <w:rFonts w:cs="Arial"/>
        </w:rPr>
        <w:lastRenderedPageBreak/>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5</w:t>
      </w:r>
      <w:r w:rsidRPr="00B527D0">
        <w:rPr>
          <w:rFonts w:cs="Arial"/>
        </w:rPr>
        <w:fldChar w:fldCharType="end"/>
      </w:r>
      <w:r w:rsidRPr="00B527D0">
        <w:rPr>
          <w:rFonts w:cs="Arial"/>
        </w:rPr>
        <w:t xml:space="preserve"> </w:t>
      </w:r>
      <w:r w:rsidR="00CD2831">
        <w:rPr>
          <w:rFonts w:cs="Arial"/>
        </w:rPr>
        <w:t xml:space="preserve">If </w:t>
      </w:r>
      <w:r w:rsidR="002D469F">
        <w:rPr>
          <w:rFonts w:cs="Arial"/>
        </w:rPr>
        <w:t xml:space="preserve">a 3os </w:t>
      </w:r>
      <w:r w:rsidR="005125E6">
        <w:rPr>
          <w:rFonts w:cs="Arial"/>
        </w:rPr>
        <w:t>sTTI</w:t>
      </w:r>
      <w:r w:rsidR="002D469F">
        <w:rPr>
          <w:rFonts w:cs="Arial"/>
        </w:rPr>
        <w:t xml:space="preserve"> is a valid CSI reference </w:t>
      </w:r>
      <w:r w:rsidR="005125E6">
        <w:rPr>
          <w:rFonts w:cs="Arial"/>
        </w:rPr>
        <w:t>sTTI</w:t>
      </w:r>
      <w:r w:rsidR="002D469F">
        <w:rPr>
          <w:rFonts w:cs="Arial"/>
        </w:rPr>
        <w:t>, w</w:t>
      </w:r>
      <w:r>
        <w:rPr>
          <w:rFonts w:cs="Arial"/>
        </w:rPr>
        <w:t>hen computing CQI</w:t>
      </w:r>
      <w:r w:rsidR="002D469F">
        <w:rPr>
          <w:rFonts w:cs="Arial"/>
        </w:rPr>
        <w:t xml:space="preserve"> based on a 3os reference </w:t>
      </w:r>
      <w:r w:rsidR="005125E6">
        <w:rPr>
          <w:rFonts w:cs="Arial"/>
        </w:rPr>
        <w:t>sTTI</w:t>
      </w:r>
      <w:r w:rsidR="002D469F">
        <w:rPr>
          <w:rFonts w:cs="Arial"/>
        </w:rPr>
        <w:t xml:space="preserve"> t</w:t>
      </w:r>
      <w:r w:rsidRPr="00B527D0">
        <w:rPr>
          <w:rFonts w:cs="Arial"/>
        </w:rPr>
        <w:t xml:space="preserve">he UE shall </w:t>
      </w:r>
      <w:r>
        <w:rPr>
          <w:rFonts w:cs="Arial"/>
        </w:rPr>
        <w:t>scale the TBS by a factor X=2/3</w:t>
      </w:r>
      <w:r w:rsidRPr="00B527D0">
        <w:rPr>
          <w:rFonts w:cs="Arial"/>
        </w:rPr>
        <w:t>.</w:t>
      </w:r>
      <w:bookmarkEnd w:id="213"/>
      <w:bookmarkEnd w:id="214"/>
      <w:bookmarkEnd w:id="215"/>
      <w:bookmarkEnd w:id="216"/>
      <w:bookmarkEnd w:id="217"/>
      <w:bookmarkEnd w:id="218"/>
      <w:bookmarkEnd w:id="219"/>
      <w:bookmarkEnd w:id="220"/>
      <w:bookmarkEnd w:id="221"/>
      <w:bookmarkEnd w:id="222"/>
    </w:p>
    <w:p w14:paraId="31EE762B" w14:textId="4E7577F3" w:rsidR="002B09DF" w:rsidRPr="00B527D0" w:rsidRDefault="002B09DF" w:rsidP="00014AA4">
      <w:pPr>
        <w:rPr>
          <w:rFonts w:cs="Arial"/>
          <w:lang w:eastAsia="x-none"/>
        </w:rPr>
      </w:pPr>
      <w:r w:rsidRPr="00B527D0">
        <w:rPr>
          <w:rFonts w:cs="Arial"/>
          <w:lang w:eastAsia="x-none"/>
        </w:rPr>
        <w:t xml:space="preserve">CRS overhead varies from </w:t>
      </w:r>
      <w:r w:rsidR="005125E6">
        <w:rPr>
          <w:rFonts w:cs="Arial"/>
          <w:lang w:eastAsia="x-none"/>
        </w:rPr>
        <w:t>sTTI</w:t>
      </w:r>
      <w:r w:rsidRPr="00B527D0">
        <w:rPr>
          <w:rFonts w:cs="Arial"/>
          <w:lang w:eastAsia="x-none"/>
        </w:rPr>
        <w:t xml:space="preserve"> to </w:t>
      </w:r>
      <w:r w:rsidR="005125E6">
        <w:rPr>
          <w:rFonts w:cs="Arial"/>
          <w:lang w:eastAsia="x-none"/>
        </w:rPr>
        <w:t>sTTI</w:t>
      </w:r>
      <w:r w:rsidRPr="00B527D0">
        <w:rPr>
          <w:rFonts w:cs="Arial"/>
          <w:lang w:eastAsia="x-none"/>
        </w:rPr>
        <w:t xml:space="preserve"> in a subframe</w:t>
      </w:r>
      <w:r w:rsidR="00780429" w:rsidRPr="00B527D0">
        <w:rPr>
          <w:rFonts w:cs="Arial"/>
          <w:lang w:eastAsia="x-none"/>
        </w:rPr>
        <w:t>. Howev</w:t>
      </w:r>
      <w:r w:rsidR="002D469F">
        <w:rPr>
          <w:rFonts w:cs="Arial"/>
          <w:lang w:eastAsia="x-none"/>
        </w:rPr>
        <w:t>er, the payload penalty for C</w:t>
      </w:r>
      <w:r w:rsidR="00780429" w:rsidRPr="00B527D0">
        <w:rPr>
          <w:rFonts w:cs="Arial"/>
          <w:lang w:eastAsia="x-none"/>
        </w:rPr>
        <w:t>RS for the whole subfr</w:t>
      </w:r>
      <w:r w:rsidR="002D469F">
        <w:rPr>
          <w:rFonts w:cs="Arial"/>
          <w:lang w:eastAsia="x-none"/>
        </w:rPr>
        <w:t>ame is given by the average C</w:t>
      </w:r>
      <w:r w:rsidR="00780429" w:rsidRPr="00B527D0">
        <w:rPr>
          <w:rFonts w:cs="Arial"/>
          <w:lang w:eastAsia="x-none"/>
        </w:rPr>
        <w:t xml:space="preserve">RS overhead per </w:t>
      </w:r>
      <w:r w:rsidR="005125E6">
        <w:rPr>
          <w:rFonts w:cs="Arial"/>
          <w:lang w:eastAsia="x-none"/>
        </w:rPr>
        <w:t>sTTI</w:t>
      </w:r>
      <w:r w:rsidR="00780429" w:rsidRPr="00B527D0">
        <w:rPr>
          <w:rFonts w:cs="Arial"/>
          <w:lang w:eastAsia="x-none"/>
        </w:rPr>
        <w:t xml:space="preserve">.  </w:t>
      </w:r>
      <w:r w:rsidR="00594E11" w:rsidRPr="00B527D0">
        <w:rPr>
          <w:rFonts w:cs="Arial"/>
          <w:lang w:eastAsia="x-none"/>
        </w:rPr>
        <w:t xml:space="preserve">This is a more </w:t>
      </w:r>
      <w:r w:rsidR="00ED6A54" w:rsidRPr="00B527D0">
        <w:rPr>
          <w:rFonts w:cs="Arial"/>
          <w:lang w:eastAsia="x-none"/>
        </w:rPr>
        <w:t>meaningful</w:t>
      </w:r>
      <w:r w:rsidR="00594E11" w:rsidRPr="00B527D0">
        <w:rPr>
          <w:rFonts w:cs="Arial"/>
          <w:lang w:eastAsia="x-none"/>
        </w:rPr>
        <w:t xml:space="preserve"> measure for the CQI calculation as the UE does not know what </w:t>
      </w:r>
      <w:r w:rsidR="005125E6">
        <w:rPr>
          <w:rFonts w:cs="Arial"/>
          <w:lang w:eastAsia="x-none"/>
        </w:rPr>
        <w:t>sTTI</w:t>
      </w:r>
      <w:r w:rsidR="00594E11" w:rsidRPr="00B527D0">
        <w:rPr>
          <w:rFonts w:cs="Arial"/>
          <w:lang w:eastAsia="x-none"/>
        </w:rPr>
        <w:t xml:space="preserve"> in the subframe will be used for the downlink scheduling of PDSCH. It is therefore proposed to use a fixed average CRS overhead.</w:t>
      </w:r>
      <w:r w:rsidR="00ED6A54">
        <w:rPr>
          <w:rFonts w:cs="Arial"/>
          <w:lang w:eastAsia="x-none"/>
        </w:rPr>
        <w:t xml:space="preserve"> With an average overhead, the CRS impact on the scheduled DL transmission is that every </w:t>
      </w:r>
      <w:r w:rsidR="005125E6">
        <w:rPr>
          <w:rFonts w:cs="Arial"/>
          <w:lang w:eastAsia="x-none"/>
        </w:rPr>
        <w:t>sTTI</w:t>
      </w:r>
      <w:r w:rsidR="00ED6A54">
        <w:rPr>
          <w:rFonts w:cs="Arial"/>
          <w:lang w:eastAsia="x-none"/>
        </w:rPr>
        <w:t xml:space="preserve"> gets the same amount of </w:t>
      </w:r>
      <w:r w:rsidR="00380C5F">
        <w:rPr>
          <w:rFonts w:cs="Arial"/>
          <w:lang w:eastAsia="x-none"/>
        </w:rPr>
        <w:t>puncturing</w:t>
      </w:r>
      <w:r w:rsidR="00ED6A54">
        <w:rPr>
          <w:rFonts w:cs="Arial"/>
          <w:lang w:eastAsia="x-none"/>
        </w:rPr>
        <w:t xml:space="preserve"> due to the CRS overhead. Using the worst case, </w:t>
      </w:r>
      <w:r w:rsidR="005125E6">
        <w:rPr>
          <w:rFonts w:cs="Arial"/>
          <w:lang w:eastAsia="x-none"/>
        </w:rPr>
        <w:t>sTTI</w:t>
      </w:r>
      <w:r w:rsidR="00ED6A54">
        <w:rPr>
          <w:rFonts w:cs="Arial"/>
          <w:lang w:eastAsia="x-none"/>
        </w:rPr>
        <w:t xml:space="preserve"> with no CRS would be excessively punctured and thus under-utilized. </w:t>
      </w:r>
      <w:r w:rsidR="00594E11" w:rsidRPr="00B527D0">
        <w:rPr>
          <w:rFonts w:cs="Arial"/>
          <w:lang w:eastAsia="x-none"/>
        </w:rPr>
        <w:t xml:space="preserve"> </w:t>
      </w:r>
    </w:p>
    <w:p w14:paraId="7D4DAD33" w14:textId="2990C8EB" w:rsidR="00594E11" w:rsidRPr="00B527D0" w:rsidRDefault="00594E11" w:rsidP="00594E11">
      <w:pPr>
        <w:pStyle w:val="Caption"/>
        <w:jc w:val="left"/>
        <w:rPr>
          <w:rFonts w:cs="Arial"/>
        </w:rPr>
      </w:pPr>
      <w:bookmarkStart w:id="223" w:name="_Toc497214021"/>
      <w:bookmarkStart w:id="224" w:name="_Toc497214116"/>
      <w:bookmarkStart w:id="225" w:name="_Toc497214191"/>
      <w:bookmarkStart w:id="226" w:name="_Toc497292507"/>
      <w:bookmarkStart w:id="227" w:name="_Toc497810002"/>
      <w:bookmarkStart w:id="228" w:name="_Toc497810113"/>
      <w:bookmarkStart w:id="229" w:name="_Toc497826640"/>
      <w:bookmarkStart w:id="230" w:name="_Toc497985267"/>
      <w:bookmarkStart w:id="231" w:name="_Toc498680867"/>
      <w:bookmarkStart w:id="232" w:name="_Toc498681740"/>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6</w:t>
      </w:r>
      <w:r w:rsidRPr="00B527D0">
        <w:rPr>
          <w:rFonts w:cs="Arial"/>
        </w:rPr>
        <w:fldChar w:fldCharType="end"/>
      </w:r>
      <w:r w:rsidRPr="00B527D0">
        <w:rPr>
          <w:rFonts w:cs="Arial"/>
        </w:rPr>
        <w:t xml:space="preserve"> The UE shall assume a fixed CRS overhead over the reference resource, defined as the average overhead over the DL subframe.</w:t>
      </w:r>
      <w:bookmarkEnd w:id="223"/>
      <w:bookmarkEnd w:id="224"/>
      <w:bookmarkEnd w:id="225"/>
      <w:bookmarkEnd w:id="226"/>
      <w:bookmarkEnd w:id="227"/>
      <w:bookmarkEnd w:id="228"/>
      <w:bookmarkEnd w:id="229"/>
      <w:bookmarkEnd w:id="230"/>
      <w:bookmarkEnd w:id="231"/>
      <w:bookmarkEnd w:id="232"/>
    </w:p>
    <w:p w14:paraId="64EEACF1" w14:textId="5F22E522" w:rsidR="00711EF1" w:rsidRPr="00B527D0" w:rsidRDefault="00014AA4" w:rsidP="00E22DD5">
      <w:pPr>
        <w:pStyle w:val="Heading3"/>
      </w:pPr>
      <w:r w:rsidRPr="00B527D0">
        <w:t>Number of CSI processes</w:t>
      </w:r>
    </w:p>
    <w:p w14:paraId="5166AB46" w14:textId="2E9E7482" w:rsidR="007D2B62" w:rsidRDefault="007D2B62" w:rsidP="007D2B62">
      <w:pPr>
        <w:pStyle w:val="Heading4"/>
      </w:pPr>
      <w:r>
        <w:t>TM</w:t>
      </w:r>
      <w:r w:rsidR="00B84E17">
        <w:t>9-</w:t>
      </w:r>
      <w:r>
        <w:t>10 considerations</w:t>
      </w:r>
    </w:p>
    <w:p w14:paraId="725D03FD" w14:textId="139AF4DC" w:rsidR="00B509B4" w:rsidRDefault="007D2B62" w:rsidP="007D2B62">
      <w:pPr>
        <w:rPr>
          <w:rFonts w:cs="Arial"/>
          <w:lang w:eastAsia="x-none"/>
        </w:rPr>
      </w:pPr>
      <w:r>
        <w:rPr>
          <w:rFonts w:cs="Arial"/>
          <w:lang w:eastAsia="x-none"/>
        </w:rPr>
        <w:t xml:space="preserve">The current sets of proposals for TM9-10 set the reference resource for CSI computation as the </w:t>
      </w:r>
      <w:r w:rsidR="005125E6">
        <w:rPr>
          <w:rFonts w:cs="Arial"/>
          <w:lang w:eastAsia="x-none"/>
        </w:rPr>
        <w:t>sTTI</w:t>
      </w:r>
      <w:r>
        <w:rPr>
          <w:rFonts w:cs="Arial"/>
          <w:lang w:eastAsia="x-none"/>
        </w:rPr>
        <w:t xml:space="preserve"> triggering the CSI report</w:t>
      </w:r>
      <w:r w:rsidR="00AD2AFA">
        <w:rPr>
          <w:rFonts w:cs="Arial"/>
          <w:lang w:eastAsia="x-none"/>
        </w:rPr>
        <w:t xml:space="preserve"> when a single CSI process is configured.</w:t>
      </w:r>
      <w:r w:rsidR="00B509B4" w:rsidRPr="00B509B4">
        <w:t xml:space="preserve"> </w:t>
      </w:r>
      <w:r w:rsidR="00B509B4">
        <w:rPr>
          <w:rFonts w:cs="Arial"/>
          <w:lang w:eastAsia="x-none"/>
        </w:rPr>
        <w:t>Moreover</w:t>
      </w:r>
      <w:r w:rsidR="00B509B4" w:rsidRPr="00B509B4">
        <w:rPr>
          <w:rFonts w:cs="Arial"/>
          <w:lang w:eastAsia="x-none"/>
        </w:rPr>
        <w:t xml:space="preserve">, it is preferable to have CSI processes confined to one </w:t>
      </w:r>
      <w:r w:rsidR="005125E6">
        <w:rPr>
          <w:rFonts w:cs="Arial"/>
          <w:lang w:eastAsia="x-none"/>
        </w:rPr>
        <w:t>sTTI</w:t>
      </w:r>
      <w:r w:rsidR="00B91E63">
        <w:rPr>
          <w:rFonts w:cs="Arial"/>
          <w:lang w:eastAsia="x-none"/>
        </w:rPr>
        <w:t>, both for latency reason and to enable CoMP to work efficiently</w:t>
      </w:r>
      <w:r w:rsidR="00B509B4" w:rsidRPr="00B509B4">
        <w:rPr>
          <w:rFonts w:cs="Arial"/>
          <w:lang w:eastAsia="x-none"/>
        </w:rPr>
        <w:t xml:space="preserve">. If the </w:t>
      </w:r>
      <w:r w:rsidR="00B91E63">
        <w:rPr>
          <w:rFonts w:cs="Arial"/>
          <w:lang w:eastAsia="x-none"/>
        </w:rPr>
        <w:t>TM10 (</w:t>
      </w:r>
      <w:r w:rsidR="00B509B4" w:rsidRPr="00B509B4">
        <w:rPr>
          <w:rFonts w:cs="Arial"/>
          <w:lang w:eastAsia="x-none"/>
        </w:rPr>
        <w:t>CoMP</w:t>
      </w:r>
      <w:r w:rsidR="00B91E63">
        <w:rPr>
          <w:rFonts w:cs="Arial"/>
          <w:lang w:eastAsia="x-none"/>
        </w:rPr>
        <w:t xml:space="preserve">) user is reporting </w:t>
      </w:r>
      <w:r w:rsidR="00B509B4" w:rsidRPr="00B509B4">
        <w:rPr>
          <w:rFonts w:cs="Arial"/>
          <w:lang w:eastAsia="x-none"/>
        </w:rPr>
        <w:t>multiple CSI process, it is intuitive to have the same TTI of resource sets for different hypotheses regarding the cooperative TX points</w:t>
      </w:r>
      <w:r w:rsidR="00B91E63">
        <w:rPr>
          <w:rFonts w:cs="Arial"/>
          <w:lang w:eastAsia="x-none"/>
        </w:rPr>
        <w:t xml:space="preserve">.  </w:t>
      </w:r>
      <w:r w:rsidR="00B509B4" w:rsidRPr="00B509B4">
        <w:rPr>
          <w:rFonts w:cs="Arial"/>
          <w:lang w:eastAsia="x-none"/>
        </w:rPr>
        <w:t>Hence, the reports would be more “timely-local” and feasible for faster point selection and comparison at eNB and easier cooperation by different points</w:t>
      </w:r>
      <w:r w:rsidR="00B91E63">
        <w:rPr>
          <w:rFonts w:cs="Arial"/>
          <w:lang w:eastAsia="x-none"/>
        </w:rPr>
        <w:t>.</w:t>
      </w:r>
    </w:p>
    <w:p w14:paraId="3CC7C976" w14:textId="698F6039" w:rsidR="007D2B62" w:rsidRDefault="007D2B62" w:rsidP="007D2B62">
      <w:pPr>
        <w:rPr>
          <w:rFonts w:cs="Arial"/>
          <w:lang w:eastAsia="x-none"/>
        </w:rPr>
      </w:pPr>
      <w:r>
        <w:rPr>
          <w:rFonts w:cs="Arial"/>
          <w:lang w:eastAsia="x-none"/>
        </w:rPr>
        <w:t xml:space="preserve">This means that the triggering </w:t>
      </w:r>
      <w:r w:rsidR="005125E6">
        <w:rPr>
          <w:rFonts w:cs="Arial"/>
          <w:lang w:eastAsia="x-none"/>
        </w:rPr>
        <w:t>sTTI</w:t>
      </w:r>
      <w:r>
        <w:rPr>
          <w:rFonts w:cs="Arial"/>
          <w:lang w:eastAsia="x-none"/>
        </w:rPr>
        <w:t xml:space="preserve"> must also contain CSI-RS. According to legacy positions of CSI-RS, CSI RS can be transmitted during </w:t>
      </w:r>
      <w:r w:rsidR="005125E6">
        <w:rPr>
          <w:rFonts w:cs="Arial"/>
          <w:lang w:eastAsia="x-none"/>
        </w:rPr>
        <w:t>sTTI</w:t>
      </w:r>
      <w:r>
        <w:rPr>
          <w:rFonts w:cs="Arial"/>
          <w:lang w:eastAsia="x-none"/>
        </w:rPr>
        <w:t xml:space="preserve"> number 2,4 and 5. </w:t>
      </w:r>
      <w:r w:rsidR="005125E6">
        <w:rPr>
          <w:rFonts w:cs="Arial"/>
          <w:lang w:eastAsia="x-none"/>
        </w:rPr>
        <w:t>STTI</w:t>
      </w:r>
      <w:r>
        <w:rPr>
          <w:rFonts w:cs="Arial"/>
          <w:lang w:eastAsia="x-none"/>
        </w:rPr>
        <w:t xml:space="preserve"> number 2 can handle 8 CSI-RS ports, </w:t>
      </w:r>
      <w:r w:rsidR="005125E6">
        <w:rPr>
          <w:rFonts w:cs="Arial"/>
          <w:lang w:eastAsia="x-none"/>
        </w:rPr>
        <w:t>STTI</w:t>
      </w:r>
      <w:r>
        <w:rPr>
          <w:rFonts w:cs="Arial"/>
          <w:lang w:eastAsia="x-none"/>
        </w:rPr>
        <w:t xml:space="preserve"> 4 can handle 24 ports and </w:t>
      </w:r>
      <w:r w:rsidR="005125E6">
        <w:rPr>
          <w:rFonts w:cs="Arial"/>
          <w:lang w:eastAsia="x-none"/>
        </w:rPr>
        <w:t>STTI</w:t>
      </w:r>
      <w:r>
        <w:rPr>
          <w:rFonts w:cs="Arial"/>
          <w:lang w:eastAsia="x-none"/>
        </w:rPr>
        <w:t xml:space="preserve"> 5</w:t>
      </w:r>
      <w:r w:rsidR="0032326B">
        <w:rPr>
          <w:rFonts w:cs="Arial"/>
          <w:lang w:eastAsia="x-none"/>
        </w:rPr>
        <w:t>,</w:t>
      </w:r>
      <w:r>
        <w:rPr>
          <w:rFonts w:cs="Arial"/>
          <w:lang w:eastAsia="x-none"/>
        </w:rPr>
        <w:t xml:space="preserve"> 8 ports. Therefore, the maximum number of ports for a given valid CSI-RS reference </w:t>
      </w:r>
      <w:r w:rsidR="005125E6">
        <w:rPr>
          <w:rFonts w:cs="Arial"/>
          <w:lang w:eastAsia="x-none"/>
        </w:rPr>
        <w:t>sTTI</w:t>
      </w:r>
      <w:r>
        <w:rPr>
          <w:rFonts w:cs="Arial"/>
          <w:lang w:eastAsia="x-none"/>
        </w:rPr>
        <w:t xml:space="preserve"> would be 8 ports. Depending of the configuration, this can translate to a maximum of 8 CSI process.</w:t>
      </w:r>
      <w:r w:rsidR="00AD2AFA">
        <w:rPr>
          <w:rFonts w:cs="Arial"/>
          <w:lang w:eastAsia="x-none"/>
        </w:rPr>
        <w:t xml:space="preserve"> However, the CSI would be based on a single RE and would not be very reliable, it is therefore proposed to use two </w:t>
      </w:r>
      <w:r w:rsidR="00CE0F2D">
        <w:rPr>
          <w:rFonts w:cs="Arial"/>
          <w:lang w:eastAsia="x-none"/>
        </w:rPr>
        <w:t xml:space="preserve">CSI-RS ports </w:t>
      </w:r>
      <w:r w:rsidR="00AD2AFA">
        <w:rPr>
          <w:rFonts w:cs="Arial"/>
          <w:lang w:eastAsia="x-none"/>
        </w:rPr>
        <w:t>per process. No specification impact is foreseen to configure the CSI processes</w:t>
      </w:r>
      <w:r w:rsidR="00CE0F2D">
        <w:rPr>
          <w:rFonts w:cs="Arial"/>
          <w:lang w:eastAsia="x-none"/>
        </w:rPr>
        <w:t xml:space="preserve"> as the definition of 2ports CSI-RS can be re-used</w:t>
      </w:r>
      <w:r w:rsidR="00AD2AFA">
        <w:rPr>
          <w:rFonts w:cs="Arial"/>
          <w:lang w:eastAsia="x-none"/>
        </w:rPr>
        <w:t xml:space="preserve">. </w:t>
      </w:r>
      <w:r w:rsidR="00CE0F2D">
        <w:rPr>
          <w:rFonts w:cs="Arial"/>
          <w:lang w:eastAsia="x-none"/>
        </w:rPr>
        <w:t xml:space="preserve">Each CSI process uses then one CSI-RS in each valid CSI reference </w:t>
      </w:r>
      <w:r w:rsidR="005125E6">
        <w:rPr>
          <w:rFonts w:cs="Arial"/>
          <w:lang w:eastAsia="x-none"/>
        </w:rPr>
        <w:t>sTTI</w:t>
      </w:r>
      <w:r w:rsidR="00CE0F2D">
        <w:rPr>
          <w:rFonts w:cs="Arial"/>
          <w:lang w:eastAsia="x-none"/>
        </w:rPr>
        <w:t xml:space="preserve"> OFDM symbol.</w:t>
      </w:r>
    </w:p>
    <w:p w14:paraId="578882FE" w14:textId="551302CB" w:rsidR="007D2B62" w:rsidRPr="00E22DD5" w:rsidRDefault="007D2B62" w:rsidP="007D2B62">
      <w:pPr>
        <w:pStyle w:val="Observation"/>
        <w:rPr>
          <w:rFonts w:asciiTheme="minorHAnsi" w:eastAsiaTheme="minorEastAsia" w:hAnsiTheme="minorHAnsi" w:cstheme="minorBidi"/>
          <w:noProof/>
          <w:sz w:val="22"/>
          <w:lang w:eastAsia="ja-JP"/>
        </w:rPr>
      </w:pPr>
      <w:bookmarkStart w:id="233" w:name="_Toc497214184"/>
      <w:bookmarkStart w:id="234" w:name="_Toc497292500"/>
      <w:bookmarkStart w:id="235" w:name="_Toc497809996"/>
      <w:bookmarkStart w:id="236" w:name="_Toc497810106"/>
      <w:bookmarkStart w:id="237" w:name="_Toc497826633"/>
      <w:bookmarkStart w:id="238" w:name="_Toc497985259"/>
      <w:bookmarkStart w:id="239" w:name="_Toc498680860"/>
      <w:bookmarkStart w:id="240" w:name="_Toc498681733"/>
      <w:bookmarkStart w:id="241" w:name="_Toc497214022"/>
      <w:r>
        <w:t xml:space="preserve">At least 8 CSI RS are present in any </w:t>
      </w:r>
      <w:r w:rsidR="005125E6">
        <w:t>sTTI</w:t>
      </w:r>
      <w:r>
        <w:t xml:space="preserve"> containing CSI-RS</w:t>
      </w:r>
      <w:bookmarkEnd w:id="233"/>
      <w:r>
        <w:t>.</w:t>
      </w:r>
      <w:bookmarkEnd w:id="234"/>
      <w:bookmarkEnd w:id="235"/>
      <w:bookmarkEnd w:id="236"/>
      <w:bookmarkEnd w:id="237"/>
      <w:bookmarkEnd w:id="238"/>
      <w:bookmarkEnd w:id="239"/>
      <w:bookmarkEnd w:id="240"/>
    </w:p>
    <w:p w14:paraId="2B161CEC" w14:textId="76A4CCD3" w:rsidR="007D2B62" w:rsidRPr="00B527D0" w:rsidRDefault="00B84E17" w:rsidP="00B84E17">
      <w:pPr>
        <w:pStyle w:val="Observation"/>
      </w:pPr>
      <w:bookmarkStart w:id="242" w:name="_Toc497214117"/>
      <w:bookmarkStart w:id="243" w:name="_Toc497214192"/>
      <w:bookmarkStart w:id="244" w:name="_Toc497292508"/>
      <w:bookmarkStart w:id="245" w:name="_Toc497810003"/>
      <w:bookmarkStart w:id="246" w:name="_Toc497810107"/>
      <w:bookmarkStart w:id="247" w:name="_Toc497826634"/>
      <w:bookmarkStart w:id="248" w:name="_Toc497985260"/>
      <w:bookmarkStart w:id="249" w:name="_Toc498680861"/>
      <w:bookmarkStart w:id="250" w:name="_Toc498681734"/>
      <w:r>
        <w:t>A</w:t>
      </w:r>
      <w:r w:rsidR="007D2B62">
        <w:t xml:space="preserve"> maximum of 8 ports </w:t>
      </w:r>
      <w:r w:rsidR="00380C5F">
        <w:t>of CSI</w:t>
      </w:r>
      <w:r w:rsidR="007D2B62">
        <w:t xml:space="preserve">-RS can be supported for a valid </w:t>
      </w:r>
      <w:r w:rsidR="005125E6">
        <w:t>sTTI</w:t>
      </w:r>
      <w:r w:rsidR="007D2B62">
        <w:t xml:space="preserve"> reference resource.</w:t>
      </w:r>
      <w:bookmarkEnd w:id="241"/>
      <w:bookmarkEnd w:id="242"/>
      <w:bookmarkEnd w:id="243"/>
      <w:bookmarkEnd w:id="244"/>
      <w:bookmarkEnd w:id="245"/>
      <w:bookmarkEnd w:id="246"/>
      <w:bookmarkEnd w:id="247"/>
      <w:bookmarkEnd w:id="248"/>
      <w:bookmarkEnd w:id="249"/>
      <w:bookmarkEnd w:id="250"/>
      <w:r w:rsidR="007D2B62">
        <w:t xml:space="preserve"> </w:t>
      </w:r>
    </w:p>
    <w:p w14:paraId="0A604AA0" w14:textId="736E6519" w:rsidR="007D2B62" w:rsidRDefault="007D2B62" w:rsidP="007D2B62">
      <w:pPr>
        <w:pStyle w:val="Caption"/>
        <w:jc w:val="left"/>
        <w:rPr>
          <w:rFonts w:cs="Arial"/>
        </w:rPr>
      </w:pPr>
      <w:bookmarkStart w:id="251" w:name="_Toc497214023"/>
      <w:bookmarkStart w:id="252" w:name="_Toc497214118"/>
      <w:bookmarkStart w:id="253" w:name="_Toc497214193"/>
      <w:bookmarkStart w:id="254" w:name="_Toc497292509"/>
      <w:bookmarkStart w:id="255" w:name="_Toc497810004"/>
      <w:bookmarkStart w:id="256" w:name="_Toc497810114"/>
      <w:bookmarkStart w:id="257" w:name="_Toc497826641"/>
      <w:bookmarkStart w:id="258" w:name="_Toc497985268"/>
      <w:bookmarkStart w:id="259" w:name="_Toc498680868"/>
      <w:bookmarkStart w:id="260" w:name="_Toc498681741"/>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7</w:t>
      </w:r>
      <w:r w:rsidRPr="00B527D0">
        <w:rPr>
          <w:rFonts w:cs="Arial"/>
        </w:rPr>
        <w:fldChar w:fldCharType="end"/>
      </w:r>
      <w:r w:rsidRPr="00B527D0">
        <w:rPr>
          <w:rFonts w:cs="Arial"/>
        </w:rPr>
        <w:t xml:space="preserve"> </w:t>
      </w:r>
      <w:r w:rsidR="0032326B">
        <w:rPr>
          <w:rFonts w:cs="Arial"/>
        </w:rPr>
        <w:t xml:space="preserve">A </w:t>
      </w:r>
      <w:r>
        <w:rPr>
          <w:rFonts w:cs="Arial"/>
        </w:rPr>
        <w:t xml:space="preserve">maximum of </w:t>
      </w:r>
      <w:r w:rsidR="00AD2AFA">
        <w:rPr>
          <w:rFonts w:cs="Arial"/>
        </w:rPr>
        <w:t>4</w:t>
      </w:r>
      <w:r>
        <w:rPr>
          <w:rFonts w:cs="Arial"/>
        </w:rPr>
        <w:t xml:space="preserve"> CSI processes </w:t>
      </w:r>
      <w:r w:rsidR="00AD2AFA">
        <w:rPr>
          <w:rFonts w:cs="Arial"/>
        </w:rPr>
        <w:t xml:space="preserve">using two CSI-RS ports </w:t>
      </w:r>
      <w:r>
        <w:rPr>
          <w:rFonts w:cs="Arial"/>
        </w:rPr>
        <w:t xml:space="preserve">can be supported for a valid </w:t>
      </w:r>
      <w:r w:rsidR="005125E6">
        <w:rPr>
          <w:rFonts w:cs="Arial"/>
        </w:rPr>
        <w:t>sTTI</w:t>
      </w:r>
      <w:r>
        <w:rPr>
          <w:rFonts w:cs="Arial"/>
        </w:rPr>
        <w:t xml:space="preserve"> reference resource.</w:t>
      </w:r>
      <w:bookmarkEnd w:id="251"/>
      <w:bookmarkEnd w:id="252"/>
      <w:bookmarkEnd w:id="253"/>
      <w:bookmarkEnd w:id="254"/>
      <w:bookmarkEnd w:id="255"/>
      <w:bookmarkEnd w:id="256"/>
      <w:bookmarkEnd w:id="257"/>
      <w:bookmarkEnd w:id="258"/>
      <w:bookmarkEnd w:id="259"/>
      <w:bookmarkEnd w:id="260"/>
      <w:r>
        <w:rPr>
          <w:rFonts w:cs="Arial"/>
        </w:rPr>
        <w:t xml:space="preserve"> </w:t>
      </w:r>
    </w:p>
    <w:p w14:paraId="397AE93C" w14:textId="18060F8E" w:rsidR="00CE0F2D" w:rsidRDefault="00CE0F2D" w:rsidP="00CE0F2D">
      <w:pPr>
        <w:pStyle w:val="Caption"/>
        <w:jc w:val="left"/>
        <w:rPr>
          <w:rFonts w:cs="Arial"/>
        </w:rPr>
      </w:pPr>
      <w:bookmarkStart w:id="261" w:name="_Toc497292510"/>
      <w:bookmarkStart w:id="262" w:name="_Toc497810005"/>
      <w:bookmarkStart w:id="263" w:name="_Toc497810115"/>
      <w:bookmarkStart w:id="264" w:name="_Toc497826642"/>
      <w:bookmarkStart w:id="265" w:name="_Toc497985269"/>
      <w:bookmarkStart w:id="266" w:name="_Toc498680869"/>
      <w:bookmarkStart w:id="267" w:name="_Toc498681742"/>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8</w:t>
      </w:r>
      <w:r w:rsidRPr="00B527D0">
        <w:rPr>
          <w:rFonts w:cs="Arial"/>
        </w:rPr>
        <w:fldChar w:fldCharType="end"/>
      </w:r>
      <w:r w:rsidRPr="00B527D0">
        <w:rPr>
          <w:rFonts w:cs="Arial"/>
        </w:rPr>
        <w:t xml:space="preserve"> </w:t>
      </w:r>
      <w:r>
        <w:rPr>
          <w:rFonts w:cs="Arial"/>
        </w:rPr>
        <w:t xml:space="preserve"> </w:t>
      </w:r>
      <w:r w:rsidR="00A70CF4">
        <w:rPr>
          <w:rFonts w:cs="Arial"/>
        </w:rPr>
        <w:t>Reuse the legacy definition and configurations of two ports CSI-RS.</w:t>
      </w:r>
      <w:bookmarkEnd w:id="261"/>
      <w:bookmarkEnd w:id="262"/>
      <w:bookmarkEnd w:id="263"/>
      <w:bookmarkEnd w:id="264"/>
      <w:bookmarkEnd w:id="265"/>
      <w:bookmarkEnd w:id="266"/>
      <w:bookmarkEnd w:id="267"/>
      <w:r>
        <w:rPr>
          <w:rFonts w:cs="Arial"/>
        </w:rPr>
        <w:t xml:space="preserve"> </w:t>
      </w:r>
    </w:p>
    <w:p w14:paraId="2B1B9B24" w14:textId="2F9E11D3" w:rsidR="007D2B62" w:rsidRDefault="007D2B62" w:rsidP="007D2B62">
      <w:pPr>
        <w:rPr>
          <w:rFonts w:cs="Arial"/>
          <w:lang w:eastAsia="x-none"/>
        </w:rPr>
      </w:pPr>
      <w:r>
        <w:rPr>
          <w:rFonts w:cs="Arial"/>
          <w:lang w:eastAsia="x-none"/>
        </w:rPr>
        <w:t xml:space="preserve">However, if the same TM is configured for both 1ms TTI and </w:t>
      </w:r>
      <w:r w:rsidR="005125E6">
        <w:rPr>
          <w:rFonts w:cs="Arial"/>
          <w:lang w:eastAsia="x-none"/>
        </w:rPr>
        <w:t>sTTI</w:t>
      </w:r>
      <w:r>
        <w:rPr>
          <w:rFonts w:cs="Arial"/>
          <w:lang w:eastAsia="x-none"/>
        </w:rPr>
        <w:t xml:space="preserve">, the </w:t>
      </w:r>
      <w:r w:rsidR="005125E6">
        <w:rPr>
          <w:rFonts w:cs="Arial"/>
          <w:lang w:eastAsia="x-none"/>
        </w:rPr>
        <w:t>sTTI</w:t>
      </w:r>
      <w:r>
        <w:rPr>
          <w:rFonts w:cs="Arial"/>
          <w:lang w:eastAsia="x-none"/>
        </w:rPr>
        <w:t xml:space="preserve"> user can use the full 1ms TTI to configure CSI reporting. In this case, legacy restriction </w:t>
      </w:r>
      <w:r w:rsidR="00A70CF4">
        <w:rPr>
          <w:rFonts w:cs="Arial"/>
          <w:lang w:eastAsia="x-none"/>
        </w:rPr>
        <w:t xml:space="preserve">on CSI reference </w:t>
      </w:r>
      <w:r>
        <w:rPr>
          <w:rFonts w:cs="Arial"/>
          <w:lang w:eastAsia="x-none"/>
        </w:rPr>
        <w:t xml:space="preserve">apply. </w:t>
      </w:r>
    </w:p>
    <w:p w14:paraId="5D1B84B3" w14:textId="3201D258" w:rsidR="007D2B62" w:rsidRDefault="007D2B62" w:rsidP="007D2B62">
      <w:pPr>
        <w:pStyle w:val="Caption"/>
        <w:jc w:val="left"/>
        <w:rPr>
          <w:rFonts w:cs="Arial"/>
        </w:rPr>
      </w:pPr>
      <w:bookmarkStart w:id="268" w:name="_Toc497214024"/>
      <w:bookmarkStart w:id="269" w:name="_Toc497214119"/>
      <w:bookmarkStart w:id="270" w:name="_Toc497214194"/>
      <w:bookmarkStart w:id="271" w:name="_Toc497292511"/>
      <w:bookmarkStart w:id="272" w:name="_Toc497810006"/>
      <w:bookmarkStart w:id="273" w:name="_Toc497810116"/>
      <w:bookmarkStart w:id="274" w:name="_Toc497826643"/>
      <w:bookmarkStart w:id="275" w:name="_Toc497985270"/>
      <w:bookmarkStart w:id="276" w:name="_Toc498680870"/>
      <w:bookmarkStart w:id="277" w:name="_Toc498681743"/>
      <w:r w:rsidRPr="00B527D0">
        <w:rPr>
          <w:rFonts w:cs="Arial"/>
        </w:rPr>
        <w:t xml:space="preserve">Proposal </w:t>
      </w:r>
      <w:r w:rsidRPr="00B527D0">
        <w:rPr>
          <w:rFonts w:cs="Arial"/>
        </w:rPr>
        <w:fldChar w:fldCharType="begin"/>
      </w:r>
      <w:r w:rsidRPr="00B527D0">
        <w:rPr>
          <w:rFonts w:cs="Arial"/>
        </w:rPr>
        <w:instrText xml:space="preserve"> SEQ Proposal \* ARABIC </w:instrText>
      </w:r>
      <w:r w:rsidRPr="00B527D0">
        <w:rPr>
          <w:rFonts w:cs="Arial"/>
        </w:rPr>
        <w:fldChar w:fldCharType="separate"/>
      </w:r>
      <w:r w:rsidR="00D61808">
        <w:rPr>
          <w:rFonts w:cs="Arial"/>
          <w:noProof/>
        </w:rPr>
        <w:t>9</w:t>
      </w:r>
      <w:r w:rsidRPr="00B527D0">
        <w:rPr>
          <w:rFonts w:cs="Arial"/>
        </w:rPr>
        <w:fldChar w:fldCharType="end"/>
      </w:r>
      <w:r w:rsidRPr="00B527D0">
        <w:rPr>
          <w:rFonts w:cs="Arial"/>
        </w:rPr>
        <w:t xml:space="preserve"> </w:t>
      </w:r>
      <w:r w:rsidR="00A70CF4">
        <w:rPr>
          <w:rFonts w:cs="Arial"/>
        </w:rPr>
        <w:t xml:space="preserve">For a </w:t>
      </w:r>
      <w:r w:rsidR="005125E6">
        <w:rPr>
          <w:rFonts w:cs="Arial"/>
        </w:rPr>
        <w:t>sTTI</w:t>
      </w:r>
      <w:r w:rsidR="00A70CF4">
        <w:rPr>
          <w:rFonts w:cs="Arial"/>
        </w:rPr>
        <w:t xml:space="preserve"> user configured with the same TM as 1ms TTI, the 1ms TTI can be </w:t>
      </w:r>
      <w:r w:rsidR="00983F9C">
        <w:rPr>
          <w:rFonts w:cs="Arial"/>
        </w:rPr>
        <w:t>used</w:t>
      </w:r>
      <w:r w:rsidR="00A70CF4">
        <w:rPr>
          <w:rFonts w:cs="Arial"/>
        </w:rPr>
        <w:t xml:space="preserve"> for CSI feedback. L</w:t>
      </w:r>
      <w:r>
        <w:rPr>
          <w:rFonts w:cs="Arial"/>
        </w:rPr>
        <w:t xml:space="preserve">egacy CSI-RS restrictions on CSI </w:t>
      </w:r>
      <w:r w:rsidR="00A70CF4">
        <w:rPr>
          <w:rFonts w:cs="Arial"/>
        </w:rPr>
        <w:t xml:space="preserve">reference and </w:t>
      </w:r>
      <w:r>
        <w:rPr>
          <w:rFonts w:cs="Arial"/>
        </w:rPr>
        <w:t>processes can be supported.</w:t>
      </w:r>
      <w:bookmarkEnd w:id="268"/>
      <w:bookmarkEnd w:id="269"/>
      <w:bookmarkEnd w:id="270"/>
      <w:bookmarkEnd w:id="271"/>
      <w:bookmarkEnd w:id="272"/>
      <w:bookmarkEnd w:id="273"/>
      <w:bookmarkEnd w:id="274"/>
      <w:bookmarkEnd w:id="275"/>
      <w:bookmarkEnd w:id="276"/>
      <w:bookmarkEnd w:id="277"/>
    </w:p>
    <w:bookmarkEnd w:id="140"/>
    <w:bookmarkEnd w:id="141"/>
    <w:bookmarkEnd w:id="142"/>
    <w:bookmarkEnd w:id="143"/>
    <w:p w14:paraId="759B4888" w14:textId="77777777" w:rsidR="00C01F33" w:rsidRPr="00B527D0" w:rsidRDefault="00C01F33" w:rsidP="00546F58">
      <w:pPr>
        <w:pStyle w:val="Heading1"/>
      </w:pPr>
      <w:r w:rsidRPr="00B527D0">
        <w:lastRenderedPageBreak/>
        <w:t>Conclusion</w:t>
      </w:r>
    </w:p>
    <w:p w14:paraId="613A71DB" w14:textId="1FDB8D43" w:rsidR="00181782" w:rsidRPr="00B527D0" w:rsidRDefault="008E065E">
      <w:pPr>
        <w:pStyle w:val="TOC1"/>
        <w:rPr>
          <w:rFonts w:cs="Arial"/>
          <w:b w:val="0"/>
        </w:rPr>
      </w:pPr>
      <w:r w:rsidRPr="00B527D0">
        <w:rPr>
          <w:rFonts w:cs="Arial"/>
          <w:b w:val="0"/>
        </w:rPr>
        <w:t xml:space="preserve">In section </w:t>
      </w:r>
      <w:r w:rsidR="00546F58" w:rsidRPr="00B527D0">
        <w:rPr>
          <w:rFonts w:cs="Arial"/>
          <w:b w:val="0"/>
        </w:rPr>
        <w:fldChar w:fldCharType="begin"/>
      </w:r>
      <w:r w:rsidR="00546F58" w:rsidRPr="00B527D0">
        <w:rPr>
          <w:rFonts w:cs="Arial"/>
          <w:b w:val="0"/>
        </w:rPr>
        <w:instrText xml:space="preserve"> REF _Ref178064866 \r \h </w:instrText>
      </w:r>
      <w:r w:rsidR="00A01783" w:rsidRPr="00B527D0">
        <w:rPr>
          <w:rFonts w:cs="Arial"/>
          <w:b w:val="0"/>
        </w:rPr>
        <w:instrText xml:space="preserve"> \* MERGEFORMAT </w:instrText>
      </w:r>
      <w:r w:rsidR="00546F58" w:rsidRPr="00B527D0">
        <w:rPr>
          <w:rFonts w:cs="Arial"/>
          <w:b w:val="0"/>
        </w:rPr>
      </w:r>
      <w:r w:rsidR="00546F58" w:rsidRPr="00B527D0">
        <w:rPr>
          <w:rFonts w:cs="Arial"/>
          <w:b w:val="0"/>
        </w:rPr>
        <w:fldChar w:fldCharType="separate"/>
      </w:r>
      <w:r w:rsidR="00D61808">
        <w:rPr>
          <w:rFonts w:cs="Arial"/>
          <w:b w:val="0"/>
        </w:rPr>
        <w:t>2</w:t>
      </w:r>
      <w:r w:rsidR="00546F58" w:rsidRPr="00B527D0">
        <w:rPr>
          <w:rFonts w:cs="Arial"/>
          <w:b w:val="0"/>
        </w:rPr>
        <w:fldChar w:fldCharType="end"/>
      </w:r>
      <w:r w:rsidRPr="00B527D0">
        <w:rPr>
          <w:rFonts w:cs="Arial"/>
          <w:b w:val="0"/>
        </w:rPr>
        <w:t xml:space="preserve"> we made the following observations:</w:t>
      </w:r>
    </w:p>
    <w:p w14:paraId="18B041D6" w14:textId="77777777" w:rsidR="00D61808" w:rsidRDefault="008E065E">
      <w:pPr>
        <w:pStyle w:val="TOC1"/>
        <w:rPr>
          <w:rFonts w:asciiTheme="minorHAnsi" w:eastAsiaTheme="minorEastAsia" w:hAnsiTheme="minorHAnsi" w:cstheme="minorBidi"/>
          <w:b w:val="0"/>
          <w:sz w:val="22"/>
          <w:lang w:eastAsia="ja-JP"/>
        </w:rPr>
      </w:pPr>
      <w:r w:rsidRPr="00B527D0">
        <w:rPr>
          <w:rFonts w:cs="Arial"/>
          <w:b w:val="0"/>
          <w:bCs/>
        </w:rPr>
        <w:fldChar w:fldCharType="begin"/>
      </w:r>
      <w:r w:rsidRPr="00B527D0">
        <w:rPr>
          <w:rFonts w:cs="Arial"/>
          <w:b w:val="0"/>
          <w:bCs/>
        </w:rPr>
        <w:instrText xml:space="preserve"> TOC \f \n \t "Observation;1" </w:instrText>
      </w:r>
      <w:r w:rsidRPr="00B527D0">
        <w:rPr>
          <w:rFonts w:cs="Arial"/>
          <w:b w:val="0"/>
          <w:bCs/>
        </w:rPr>
        <w:fldChar w:fldCharType="separate"/>
      </w:r>
      <w:r w:rsidR="00D61808" w:rsidRPr="00097A95">
        <w:rPr>
          <w:rFonts w:cs="Arial"/>
        </w:rPr>
        <w:t>Observation 1</w:t>
      </w:r>
      <w:r w:rsidR="00D61808">
        <w:rPr>
          <w:rFonts w:asciiTheme="minorHAnsi" w:eastAsiaTheme="minorEastAsia" w:hAnsiTheme="minorHAnsi" w:cstheme="minorBidi"/>
          <w:b w:val="0"/>
          <w:sz w:val="22"/>
          <w:lang w:eastAsia="ja-JP"/>
        </w:rPr>
        <w:tab/>
      </w:r>
      <w:r w:rsidR="00D61808" w:rsidRPr="00097A95">
        <w:rPr>
          <w:rFonts w:cs="Arial"/>
        </w:rPr>
        <w:t>The legacy CSI framework is suitable for sTTI users</w:t>
      </w:r>
    </w:p>
    <w:p w14:paraId="3CDA5CC0" w14:textId="77777777" w:rsidR="00D61808" w:rsidRDefault="00D61808">
      <w:pPr>
        <w:pStyle w:val="TOC1"/>
        <w:rPr>
          <w:rFonts w:asciiTheme="minorHAnsi" w:eastAsiaTheme="minorEastAsia" w:hAnsiTheme="minorHAnsi" w:cstheme="minorBidi"/>
          <w:b w:val="0"/>
          <w:sz w:val="22"/>
          <w:lang w:eastAsia="ja-JP"/>
        </w:rPr>
      </w:pPr>
      <w:r w:rsidRPr="00097A95">
        <w:rPr>
          <w:rFonts w:cs="Arial"/>
        </w:rPr>
        <w:t>Observation 2</w:t>
      </w:r>
      <w:r>
        <w:rPr>
          <w:rFonts w:asciiTheme="minorHAnsi" w:eastAsiaTheme="minorEastAsia" w:hAnsiTheme="minorHAnsi" w:cstheme="minorBidi"/>
          <w:b w:val="0"/>
          <w:sz w:val="22"/>
          <w:lang w:eastAsia="ja-JP"/>
        </w:rPr>
        <w:tab/>
      </w:r>
      <w:r w:rsidRPr="00097A95">
        <w:rPr>
          <w:rFonts w:cs="Arial"/>
        </w:rPr>
        <w:t>Support of full extent of today’s CSI reporting on sTTI scale is challenging</w:t>
      </w:r>
    </w:p>
    <w:p w14:paraId="202507D3" w14:textId="77777777" w:rsidR="00D61808" w:rsidRDefault="00D61808">
      <w:pPr>
        <w:pStyle w:val="TOC1"/>
        <w:rPr>
          <w:rFonts w:asciiTheme="minorHAnsi" w:eastAsiaTheme="minorEastAsia" w:hAnsiTheme="minorHAnsi" w:cstheme="minorBidi"/>
          <w:b w:val="0"/>
          <w:sz w:val="22"/>
          <w:lang w:eastAsia="ja-JP"/>
        </w:rPr>
      </w:pPr>
      <w:r w:rsidRPr="00097A95">
        <w:rPr>
          <w:rFonts w:cs="Arial"/>
        </w:rPr>
        <w:t>Observation 3</w:t>
      </w:r>
      <w:r>
        <w:rPr>
          <w:rFonts w:asciiTheme="minorHAnsi" w:eastAsiaTheme="minorEastAsia" w:hAnsiTheme="minorHAnsi" w:cstheme="minorBidi"/>
          <w:b w:val="0"/>
          <w:sz w:val="22"/>
          <w:lang w:eastAsia="ja-JP"/>
        </w:rPr>
        <w:tab/>
      </w:r>
      <w:r w:rsidRPr="00097A95">
        <w:rPr>
          <w:rFonts w:cs="Arial"/>
        </w:rPr>
        <w:t>Spatial information such as PMI/RI measurement and reporting based on 1ms TTI are suitable for sTTI scheduling</w:t>
      </w:r>
    </w:p>
    <w:p w14:paraId="47AA000B" w14:textId="77777777" w:rsidR="00D61808" w:rsidRDefault="00D61808">
      <w:pPr>
        <w:pStyle w:val="TOC1"/>
        <w:rPr>
          <w:rFonts w:asciiTheme="minorHAnsi" w:eastAsiaTheme="minorEastAsia" w:hAnsiTheme="minorHAnsi" w:cstheme="minorBidi"/>
          <w:b w:val="0"/>
          <w:sz w:val="22"/>
          <w:lang w:eastAsia="ja-JP"/>
        </w:rPr>
      </w:pPr>
      <w:r w:rsidRPr="00097A95">
        <w:rPr>
          <w:rFonts w:cs="Arial"/>
        </w:rPr>
        <w:t>Observation 4</w:t>
      </w:r>
      <w:r>
        <w:rPr>
          <w:rFonts w:asciiTheme="minorHAnsi" w:eastAsiaTheme="minorEastAsia" w:hAnsiTheme="minorHAnsi" w:cstheme="minorBidi"/>
          <w:b w:val="0"/>
          <w:sz w:val="22"/>
          <w:lang w:eastAsia="ja-JP"/>
        </w:rPr>
        <w:tab/>
      </w:r>
      <w:r w:rsidRPr="00097A95">
        <w:rPr>
          <w:rFonts w:cs="Arial"/>
        </w:rPr>
        <w:t>Aperiodic CQI feedback on sPUSCH could be beneficial</w:t>
      </w:r>
    </w:p>
    <w:p w14:paraId="5FD09065" w14:textId="77777777" w:rsidR="00D61808" w:rsidRDefault="00D61808">
      <w:pPr>
        <w:pStyle w:val="TOC1"/>
        <w:rPr>
          <w:rFonts w:asciiTheme="minorHAnsi" w:eastAsiaTheme="minorEastAsia" w:hAnsiTheme="minorHAnsi" w:cstheme="minorBidi"/>
          <w:b w:val="0"/>
          <w:sz w:val="22"/>
          <w:lang w:eastAsia="ja-JP"/>
        </w:rPr>
      </w:pPr>
      <w:r>
        <w:t>Observation 5</w:t>
      </w:r>
      <w:r>
        <w:rPr>
          <w:rFonts w:asciiTheme="minorHAnsi" w:eastAsiaTheme="minorEastAsia" w:hAnsiTheme="minorHAnsi" w:cstheme="minorBidi"/>
          <w:b w:val="0"/>
          <w:sz w:val="22"/>
          <w:lang w:eastAsia="ja-JP"/>
        </w:rPr>
        <w:tab/>
      </w:r>
      <w:r w:rsidRPr="00097A95">
        <w:rPr>
          <w:rFonts w:cs="Arial"/>
        </w:rPr>
        <w:t>Differential CQI feedback on sPUSCH could be beneficial from the payload point of view</w:t>
      </w:r>
    </w:p>
    <w:p w14:paraId="5F4049D5" w14:textId="77777777" w:rsidR="00D61808" w:rsidRDefault="00D61808">
      <w:pPr>
        <w:pStyle w:val="TOC1"/>
        <w:rPr>
          <w:rFonts w:asciiTheme="minorHAnsi" w:eastAsiaTheme="minorEastAsia" w:hAnsiTheme="minorHAnsi" w:cstheme="minorBidi"/>
          <w:b w:val="0"/>
          <w:sz w:val="22"/>
          <w:lang w:eastAsia="ja-JP"/>
        </w:rPr>
      </w:pPr>
      <w:r w:rsidRPr="00097A95">
        <w:rPr>
          <w:rFonts w:cs="Arial"/>
        </w:rPr>
        <w:t>Observation 6</w:t>
      </w:r>
      <w:r>
        <w:rPr>
          <w:rFonts w:asciiTheme="minorHAnsi" w:eastAsiaTheme="minorEastAsia" w:hAnsiTheme="minorHAnsi" w:cstheme="minorBidi"/>
          <w:b w:val="0"/>
          <w:sz w:val="22"/>
          <w:lang w:eastAsia="ja-JP"/>
        </w:rPr>
        <w:tab/>
      </w:r>
      <w:r w:rsidRPr="00097A95">
        <w:rPr>
          <w:rFonts w:cs="Arial"/>
        </w:rPr>
        <w:t>The current definition of subbands needs to be extended to account for the scaled granularity.</w:t>
      </w:r>
    </w:p>
    <w:p w14:paraId="405D53BC" w14:textId="77777777" w:rsidR="00D61808" w:rsidRDefault="00D61808">
      <w:pPr>
        <w:pStyle w:val="TOC1"/>
        <w:rPr>
          <w:rFonts w:asciiTheme="minorHAnsi" w:eastAsiaTheme="minorEastAsia" w:hAnsiTheme="minorHAnsi" w:cstheme="minorBidi"/>
          <w:b w:val="0"/>
          <w:sz w:val="22"/>
          <w:lang w:eastAsia="ja-JP"/>
        </w:rPr>
      </w:pPr>
      <w:r w:rsidRPr="00097A95">
        <w:rPr>
          <w:rFonts w:cs="Arial"/>
          <w:b w:val="0"/>
          <w:lang w:eastAsia="x-none"/>
        </w:rPr>
        <w:t>Observation 7</w:t>
      </w:r>
      <w:r>
        <w:rPr>
          <w:rFonts w:asciiTheme="minorHAnsi" w:eastAsiaTheme="minorEastAsia" w:hAnsiTheme="minorHAnsi" w:cstheme="minorBidi"/>
          <w:b w:val="0"/>
          <w:sz w:val="22"/>
          <w:lang w:eastAsia="ja-JP"/>
        </w:rPr>
        <w:tab/>
      </w:r>
      <w:r w:rsidRPr="00097A95">
        <w:rPr>
          <w:rFonts w:cs="Arial"/>
          <w:lang w:eastAsia="x-none"/>
        </w:rPr>
        <w:t>There are enough 2os sTTI to be reference for CSI feedback</w:t>
      </w:r>
    </w:p>
    <w:p w14:paraId="57622797" w14:textId="77777777" w:rsidR="00D61808" w:rsidRDefault="00D61808">
      <w:pPr>
        <w:pStyle w:val="TOC1"/>
        <w:rPr>
          <w:rFonts w:asciiTheme="minorHAnsi" w:eastAsiaTheme="minorEastAsia" w:hAnsiTheme="minorHAnsi" w:cstheme="minorBidi"/>
          <w:b w:val="0"/>
          <w:sz w:val="22"/>
          <w:lang w:eastAsia="ja-JP"/>
        </w:rPr>
      </w:pPr>
      <w:r w:rsidRPr="00097A95">
        <w:rPr>
          <w:rFonts w:asciiTheme="minorHAnsi" w:eastAsiaTheme="minorEastAsia" w:hAnsiTheme="minorHAnsi" w:cstheme="minorBidi"/>
          <w:lang w:eastAsia="ja-JP"/>
        </w:rPr>
        <w:t>Observation 8</w:t>
      </w:r>
      <w:r>
        <w:rPr>
          <w:rFonts w:asciiTheme="minorHAnsi" w:eastAsiaTheme="minorEastAsia" w:hAnsiTheme="minorHAnsi" w:cstheme="minorBidi"/>
          <w:b w:val="0"/>
          <w:sz w:val="22"/>
          <w:lang w:eastAsia="ja-JP"/>
        </w:rPr>
        <w:tab/>
      </w:r>
      <w:r>
        <w:t>At least 8 CSI RS are present in any sTTI containing CSI-RS.</w:t>
      </w:r>
    </w:p>
    <w:p w14:paraId="6B95B2F4" w14:textId="77777777" w:rsidR="00D61808" w:rsidRDefault="00D61808">
      <w:pPr>
        <w:pStyle w:val="TOC1"/>
        <w:rPr>
          <w:rFonts w:asciiTheme="minorHAnsi" w:eastAsiaTheme="minorEastAsia" w:hAnsiTheme="minorHAnsi" w:cstheme="minorBidi"/>
          <w:b w:val="0"/>
          <w:sz w:val="22"/>
          <w:lang w:eastAsia="ja-JP"/>
        </w:rPr>
      </w:pPr>
      <w:r>
        <w:t>Observation 9</w:t>
      </w:r>
      <w:r>
        <w:rPr>
          <w:rFonts w:asciiTheme="minorHAnsi" w:eastAsiaTheme="minorEastAsia" w:hAnsiTheme="minorHAnsi" w:cstheme="minorBidi"/>
          <w:b w:val="0"/>
          <w:sz w:val="22"/>
          <w:lang w:eastAsia="ja-JP"/>
        </w:rPr>
        <w:tab/>
      </w:r>
      <w:r>
        <w:t>A maximum of 8 ports of CSI-RS can be supported for a valid sTTI reference resource.</w:t>
      </w:r>
    </w:p>
    <w:p w14:paraId="593002DE" w14:textId="5BD98AB0" w:rsidR="0085302A" w:rsidRPr="00B527D0" w:rsidRDefault="008E065E" w:rsidP="00AE2D40">
      <w:pPr>
        <w:pStyle w:val="BodyText"/>
        <w:rPr>
          <w:rFonts w:cs="Arial"/>
          <w:b/>
          <w:bCs/>
        </w:rPr>
      </w:pPr>
      <w:r w:rsidRPr="00B527D0">
        <w:rPr>
          <w:rFonts w:cs="Arial"/>
          <w:b/>
          <w:bCs/>
        </w:rPr>
        <w:fldChar w:fldCharType="end"/>
      </w:r>
    </w:p>
    <w:p w14:paraId="21EAD6EB" w14:textId="0B08DBD7" w:rsidR="00311702" w:rsidRPr="00B527D0" w:rsidRDefault="008E065E" w:rsidP="00AE2D40">
      <w:pPr>
        <w:pStyle w:val="BodyText"/>
        <w:rPr>
          <w:rFonts w:cs="Arial"/>
        </w:rPr>
      </w:pPr>
      <w:r w:rsidRPr="00B527D0">
        <w:rPr>
          <w:rFonts w:cs="Arial"/>
        </w:rPr>
        <w:t xml:space="preserve">Based on the discussion in section </w:t>
      </w:r>
      <w:r w:rsidR="00546F58" w:rsidRPr="00B527D0">
        <w:rPr>
          <w:rFonts w:cs="Arial"/>
        </w:rPr>
        <w:fldChar w:fldCharType="begin"/>
      </w:r>
      <w:r w:rsidR="00546F58" w:rsidRPr="00B527D0">
        <w:rPr>
          <w:rFonts w:cs="Arial"/>
        </w:rPr>
        <w:instrText xml:space="preserve"> REF _Ref178064866 \r \h </w:instrText>
      </w:r>
      <w:r w:rsidR="00135A29" w:rsidRPr="00B527D0">
        <w:rPr>
          <w:rFonts w:cs="Arial"/>
        </w:rPr>
        <w:instrText xml:space="preserve"> \* MERGEFORMAT </w:instrText>
      </w:r>
      <w:r w:rsidR="00546F58" w:rsidRPr="00B527D0">
        <w:rPr>
          <w:rFonts w:cs="Arial"/>
        </w:rPr>
      </w:r>
      <w:r w:rsidR="00546F58" w:rsidRPr="00B527D0">
        <w:rPr>
          <w:rFonts w:cs="Arial"/>
        </w:rPr>
        <w:fldChar w:fldCharType="separate"/>
      </w:r>
      <w:r w:rsidR="00D61808">
        <w:rPr>
          <w:rFonts w:cs="Arial"/>
        </w:rPr>
        <w:t>2</w:t>
      </w:r>
      <w:r w:rsidR="00546F58" w:rsidRPr="00B527D0">
        <w:rPr>
          <w:rFonts w:cs="Arial"/>
        </w:rPr>
        <w:fldChar w:fldCharType="end"/>
      </w:r>
      <w:r w:rsidRPr="00B527D0">
        <w:rPr>
          <w:rFonts w:cs="Arial"/>
        </w:rPr>
        <w:t xml:space="preserve"> we propose the following:</w:t>
      </w:r>
      <w:r w:rsidR="00493AD9" w:rsidRPr="00B527D0">
        <w:rPr>
          <w:rFonts w:cs="Arial"/>
        </w:rPr>
        <w:t xml:space="preserve"> </w:t>
      </w:r>
    </w:p>
    <w:p w14:paraId="5D4CFF1F" w14:textId="77777777" w:rsidR="00D61808" w:rsidRDefault="00493AD9">
      <w:pPr>
        <w:pStyle w:val="TableofFigures"/>
        <w:tabs>
          <w:tab w:val="right" w:leader="dot" w:pos="9629"/>
        </w:tabs>
        <w:rPr>
          <w:rFonts w:asciiTheme="minorHAnsi" w:eastAsiaTheme="minorEastAsia" w:hAnsiTheme="minorHAnsi" w:cstheme="minorBidi"/>
          <w:b w:val="0"/>
          <w:noProof/>
          <w:sz w:val="22"/>
          <w:szCs w:val="22"/>
          <w:lang w:val="en-US" w:eastAsia="ja-JP"/>
        </w:rPr>
      </w:pPr>
      <w:r w:rsidRPr="00B527D0">
        <w:rPr>
          <w:rFonts w:cs="Arial"/>
        </w:rPr>
        <w:fldChar w:fldCharType="begin"/>
      </w:r>
      <w:r w:rsidRPr="00B527D0">
        <w:rPr>
          <w:rFonts w:cs="Arial"/>
        </w:rPr>
        <w:instrText xml:space="preserve"> TOC \n \c "Proposal" </w:instrText>
      </w:r>
      <w:r w:rsidRPr="00B527D0">
        <w:rPr>
          <w:rFonts w:cs="Arial"/>
        </w:rPr>
        <w:fldChar w:fldCharType="separate"/>
      </w:r>
      <w:r w:rsidR="00D61808" w:rsidRPr="00836494">
        <w:rPr>
          <w:rFonts w:cs="Arial"/>
          <w:noProof/>
        </w:rPr>
        <w:t>Proposal 1</w:t>
      </w:r>
      <w:r w:rsidR="00D61808">
        <w:rPr>
          <w:rFonts w:asciiTheme="minorHAnsi" w:eastAsiaTheme="minorEastAsia" w:hAnsiTheme="minorHAnsi" w:cstheme="minorBidi"/>
          <w:b w:val="0"/>
          <w:noProof/>
          <w:sz w:val="22"/>
          <w:szCs w:val="22"/>
          <w:lang w:val="en-US" w:eastAsia="ja-JP"/>
        </w:rPr>
        <w:tab/>
      </w:r>
      <w:r w:rsidR="00D61808" w:rsidRPr="00836494">
        <w:rPr>
          <w:rFonts w:cs="Arial"/>
          <w:noProof/>
        </w:rPr>
        <w:t>Aperiodic sPUSCH CSI feedback m</w:t>
      </w:r>
      <w:r w:rsidR="00D61808" w:rsidRPr="00836494">
        <w:rPr>
          <w:rFonts w:cs="Arial"/>
          <w:noProof/>
          <w:lang w:val="en-US"/>
        </w:rPr>
        <w:t>odes 1-2, 2-2 and 3-2 are not supported for sTTI</w:t>
      </w:r>
    </w:p>
    <w:p w14:paraId="6DE41E80"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2</w:t>
      </w:r>
      <w:r>
        <w:rPr>
          <w:rFonts w:asciiTheme="minorHAnsi" w:eastAsiaTheme="minorEastAsia" w:hAnsiTheme="minorHAnsi" w:cstheme="minorBidi"/>
          <w:b w:val="0"/>
          <w:noProof/>
          <w:sz w:val="22"/>
          <w:szCs w:val="22"/>
          <w:lang w:val="en-US" w:eastAsia="ja-JP"/>
        </w:rPr>
        <w:tab/>
      </w:r>
      <w:r w:rsidRPr="00836494">
        <w:rPr>
          <w:rFonts w:cs="Arial"/>
          <w:noProof/>
        </w:rPr>
        <w:t>Aperiodic CSI feedback m</w:t>
      </w:r>
      <w:r w:rsidRPr="00836494">
        <w:rPr>
          <w:rFonts w:cs="Arial"/>
          <w:noProof/>
          <w:lang w:val="en-US"/>
        </w:rPr>
        <w:t>odes 2-0 and 2-2 are not supported for sTTI</w:t>
      </w:r>
    </w:p>
    <w:p w14:paraId="63731753"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3</w:t>
      </w:r>
      <w:r>
        <w:rPr>
          <w:rFonts w:asciiTheme="minorHAnsi" w:eastAsiaTheme="minorEastAsia" w:hAnsiTheme="minorHAnsi" w:cstheme="minorBidi"/>
          <w:b w:val="0"/>
          <w:noProof/>
          <w:sz w:val="22"/>
          <w:szCs w:val="22"/>
          <w:lang w:val="en-US" w:eastAsia="ja-JP"/>
        </w:rPr>
        <w:tab/>
      </w:r>
      <w:r w:rsidRPr="00836494">
        <w:rPr>
          <w:rFonts w:cs="Arial"/>
          <w:noProof/>
        </w:rPr>
        <w:t>Subband granularity is increased to account for the sRBG size as shown in Table 3 and Table 4.</w:t>
      </w:r>
    </w:p>
    <w:p w14:paraId="5152AAAF"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4 Only 2os sTTI are valid CSI reference sTTIs for 2/3os.</w:t>
      </w:r>
    </w:p>
    <w:p w14:paraId="6B6AEC1D"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5 If a 3os sTTI is a valid CSI reference sTTI, when computing CQI based on a 3os reference sTTI the UE shall scale the TBS by a factor X=2/3.</w:t>
      </w:r>
    </w:p>
    <w:p w14:paraId="7FF10DFE"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6 The UE shall assume a fixed CRS overhead over the reference resource, defined as the average overhead over the DL subframe.</w:t>
      </w:r>
    </w:p>
    <w:p w14:paraId="5DB2B40B"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7 A maximum of 4 CSI processes using two CSI-RS ports can be supported for a valid sTTI reference resource.</w:t>
      </w:r>
    </w:p>
    <w:p w14:paraId="2BB2040E"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8  Reuse the legacy definition and configurations of two ports CSI-RS.</w:t>
      </w:r>
    </w:p>
    <w:p w14:paraId="675262CD" w14:textId="77777777" w:rsidR="00D61808" w:rsidRDefault="00D61808">
      <w:pPr>
        <w:pStyle w:val="TableofFigures"/>
        <w:tabs>
          <w:tab w:val="right" w:leader="dot" w:pos="9629"/>
        </w:tabs>
        <w:rPr>
          <w:rFonts w:asciiTheme="minorHAnsi" w:eastAsiaTheme="minorEastAsia" w:hAnsiTheme="minorHAnsi" w:cstheme="minorBidi"/>
          <w:b w:val="0"/>
          <w:noProof/>
          <w:sz w:val="22"/>
          <w:szCs w:val="22"/>
          <w:lang w:val="en-US" w:eastAsia="ja-JP"/>
        </w:rPr>
      </w:pPr>
      <w:r w:rsidRPr="00836494">
        <w:rPr>
          <w:rFonts w:cs="Arial"/>
          <w:noProof/>
        </w:rPr>
        <w:t>Proposal 9 For a sTTI user configured with the same TM as 1ms TTI, the 1ms TTI can be use for CSI feedback. Legacy CSI-RS restrictions on CSI reference and processes can be supported.</w:t>
      </w:r>
    </w:p>
    <w:p w14:paraId="2C54AFD8" w14:textId="5E0136B2" w:rsidR="00C01F33" w:rsidRPr="00B527D0" w:rsidRDefault="00493AD9" w:rsidP="00AE2D40">
      <w:pPr>
        <w:pStyle w:val="TableofFigures"/>
        <w:tabs>
          <w:tab w:val="right" w:leader="dot" w:pos="9629"/>
        </w:tabs>
        <w:rPr>
          <w:rFonts w:cs="Arial"/>
        </w:rPr>
      </w:pPr>
      <w:r w:rsidRPr="00B527D0">
        <w:rPr>
          <w:rFonts w:cs="Arial"/>
        </w:rPr>
        <w:fldChar w:fldCharType="end"/>
      </w:r>
    </w:p>
    <w:p w14:paraId="47EAB8F3" w14:textId="77777777" w:rsidR="00F507D1" w:rsidRPr="00B527D0" w:rsidRDefault="00F507D1" w:rsidP="00FA168F">
      <w:pPr>
        <w:pStyle w:val="Heading1"/>
      </w:pPr>
      <w:bookmarkStart w:id="278" w:name="_In-sequence_SDU_delivery"/>
      <w:bookmarkEnd w:id="278"/>
      <w:r w:rsidRPr="00B527D0">
        <w:t>References</w:t>
      </w:r>
    </w:p>
    <w:bookmarkStart w:id="279" w:name="_Ref174151459"/>
    <w:bookmarkStart w:id="280" w:name="_Ref189809556"/>
    <w:bookmarkStart w:id="281" w:name="_Ref450054575"/>
    <w:bookmarkStart w:id="282" w:name="_Ref453835673"/>
    <w:p w14:paraId="12C6270F" w14:textId="1E29E79F" w:rsidR="00FA168F" w:rsidRPr="00B527D0" w:rsidRDefault="006F4F7F" w:rsidP="00EC7358">
      <w:pPr>
        <w:pStyle w:val="Reference"/>
        <w:numPr>
          <w:ilvl w:val="0"/>
          <w:numId w:val="18"/>
        </w:numPr>
        <w:jc w:val="left"/>
        <w:textAlignment w:val="auto"/>
        <w:rPr>
          <w:rFonts w:eastAsia="MS Mincho" w:cs="Arial"/>
          <w:lang w:eastAsia="ja-JP"/>
        </w:rPr>
      </w:pPr>
      <w:r w:rsidRPr="00B527D0">
        <w:rPr>
          <w:rFonts w:cs="Arial"/>
        </w:rPr>
        <w:fldChar w:fldCharType="begin"/>
      </w:r>
      <w:r w:rsidRPr="00B527D0">
        <w:rPr>
          <w:rFonts w:cs="Arial"/>
        </w:rPr>
        <w:instrText xml:space="preserve"> HYPERLINK "ftp://www.3gpp.org/tsg_ran/TSG_RAN//TSGR_75/Docs/RP-170113.zip" </w:instrText>
      </w:r>
      <w:r w:rsidRPr="00B527D0">
        <w:rPr>
          <w:rFonts w:cs="Arial"/>
        </w:rPr>
        <w:fldChar w:fldCharType="separate"/>
      </w:r>
      <w:r w:rsidRPr="00B527D0">
        <w:rPr>
          <w:rStyle w:val="Hyperlink"/>
          <w:rFonts w:cs="Arial"/>
        </w:rPr>
        <w:t>RP-170113</w:t>
      </w:r>
      <w:r w:rsidRPr="00B527D0">
        <w:rPr>
          <w:rFonts w:cs="Arial"/>
        </w:rPr>
        <w:fldChar w:fldCharType="end"/>
      </w:r>
      <w:r w:rsidR="00546F58" w:rsidRPr="00B527D0">
        <w:rPr>
          <w:rFonts w:cs="Arial"/>
        </w:rPr>
        <w:t>, New Work Item on shortened TTI and processing time</w:t>
      </w:r>
      <w:r w:rsidR="00EC7358" w:rsidRPr="00B527D0">
        <w:rPr>
          <w:rFonts w:cs="Arial"/>
        </w:rPr>
        <w:t xml:space="preserve"> for LTE, Ericsson, RAN#75, March</w:t>
      </w:r>
      <w:r w:rsidR="00546F58" w:rsidRPr="00B527D0">
        <w:rPr>
          <w:rFonts w:cs="Arial"/>
        </w:rPr>
        <w:t xml:space="preserve"> 201</w:t>
      </w:r>
      <w:r w:rsidR="00EC7358" w:rsidRPr="00B527D0">
        <w:rPr>
          <w:rFonts w:cs="Arial"/>
        </w:rPr>
        <w:t>7</w:t>
      </w:r>
      <w:r w:rsidR="00546F58" w:rsidRPr="00B527D0">
        <w:rPr>
          <w:rFonts w:cs="Arial"/>
        </w:rPr>
        <w:t>.</w:t>
      </w:r>
      <w:bookmarkEnd w:id="279"/>
      <w:bookmarkEnd w:id="280"/>
      <w:bookmarkEnd w:id="281"/>
      <w:bookmarkEnd w:id="282"/>
    </w:p>
    <w:p w14:paraId="56D529B0" w14:textId="030D9B85" w:rsidR="00FA168F" w:rsidRPr="00B527D0" w:rsidRDefault="002A6960" w:rsidP="00FA168F">
      <w:pPr>
        <w:pStyle w:val="Reference"/>
        <w:numPr>
          <w:ilvl w:val="0"/>
          <w:numId w:val="18"/>
        </w:numPr>
        <w:jc w:val="left"/>
        <w:rPr>
          <w:rFonts w:eastAsia="MS Mincho" w:cs="Arial"/>
          <w:lang w:eastAsia="ja-JP"/>
        </w:rPr>
      </w:pPr>
      <w:hyperlink r:id="rId16" w:history="1">
        <w:r w:rsidR="006F4F7F" w:rsidRPr="00B527D0">
          <w:rPr>
            <w:rStyle w:val="Hyperlink"/>
            <w:rFonts w:eastAsia="MS Mincho" w:cs="Arial"/>
            <w:lang w:eastAsia="ja-JP"/>
          </w:rPr>
          <w:t>R1-1612743</w:t>
        </w:r>
      </w:hyperlink>
      <w:r w:rsidR="00FA168F" w:rsidRPr="00B527D0">
        <w:rPr>
          <w:rFonts w:eastAsia="MS Mincho" w:cs="Arial"/>
          <w:lang w:eastAsia="ja-JP"/>
        </w:rPr>
        <w:t>, CSI aspects of shortened TTI</w:t>
      </w:r>
      <w:r w:rsidR="00FA168F" w:rsidRPr="00B527D0">
        <w:rPr>
          <w:rFonts w:eastAsia="MS Mincho" w:cs="Arial"/>
          <w:lang w:eastAsia="ja-JP"/>
        </w:rPr>
        <w:tab/>
        <w:t>Motorola Mobility, RAN1#87, Reno, November 2016.</w:t>
      </w:r>
    </w:p>
    <w:p w14:paraId="4AAD2A77" w14:textId="2B2A0E4E" w:rsidR="00FA168F" w:rsidRPr="00B527D0" w:rsidRDefault="002A6960" w:rsidP="00FA168F">
      <w:pPr>
        <w:pStyle w:val="Reference"/>
        <w:numPr>
          <w:ilvl w:val="0"/>
          <w:numId w:val="18"/>
        </w:numPr>
        <w:jc w:val="left"/>
        <w:rPr>
          <w:rFonts w:eastAsia="MS Mincho" w:cs="Arial"/>
          <w:lang w:eastAsia="ja-JP"/>
        </w:rPr>
      </w:pPr>
      <w:hyperlink r:id="rId17" w:history="1">
        <w:r w:rsidR="006F4F7F" w:rsidRPr="00B527D0">
          <w:rPr>
            <w:rStyle w:val="Hyperlink"/>
            <w:rFonts w:eastAsia="MS Mincho" w:cs="Arial"/>
            <w:lang w:eastAsia="ja-JP"/>
          </w:rPr>
          <w:t>R1-1612699</w:t>
        </w:r>
      </w:hyperlink>
      <w:r w:rsidR="00FA168F" w:rsidRPr="00B527D0">
        <w:rPr>
          <w:rFonts w:eastAsia="MS Mincho" w:cs="Arial"/>
          <w:lang w:eastAsia="ja-JP"/>
        </w:rPr>
        <w:t>,</w:t>
      </w:r>
      <w:r w:rsidR="00FA168F" w:rsidRPr="00B527D0">
        <w:rPr>
          <w:rFonts w:eastAsia="MS Mincho" w:cs="Arial"/>
          <w:lang w:eastAsia="ja-JP"/>
        </w:rPr>
        <w:tab/>
        <w:t>Views on CSI feedback for shortened TTI with reduced processing time,</w:t>
      </w:r>
      <w:r w:rsidR="00983F9C">
        <w:rPr>
          <w:rFonts w:eastAsia="MS Mincho" w:cs="Arial"/>
          <w:lang w:eastAsia="ja-JP"/>
        </w:rPr>
        <w:t xml:space="preserve"> </w:t>
      </w:r>
      <w:r w:rsidR="00FA168F" w:rsidRPr="00B527D0">
        <w:rPr>
          <w:rFonts w:eastAsia="MS Mincho" w:cs="Arial"/>
          <w:lang w:eastAsia="ja-JP"/>
        </w:rPr>
        <w:t>NTT DOCOMO, RAN1#87, Reno, November 2016.</w:t>
      </w:r>
    </w:p>
    <w:p w14:paraId="7042F5CA" w14:textId="66623264" w:rsidR="00FA168F" w:rsidRPr="00B527D0" w:rsidRDefault="002A6960" w:rsidP="00FA168F">
      <w:pPr>
        <w:pStyle w:val="Reference"/>
        <w:numPr>
          <w:ilvl w:val="0"/>
          <w:numId w:val="18"/>
        </w:numPr>
        <w:jc w:val="left"/>
        <w:rPr>
          <w:rFonts w:eastAsia="MS Mincho" w:cs="Arial"/>
          <w:lang w:eastAsia="ja-JP"/>
        </w:rPr>
      </w:pPr>
      <w:hyperlink r:id="rId18" w:history="1">
        <w:r w:rsidR="006F4F7F" w:rsidRPr="00B527D0">
          <w:rPr>
            <w:rStyle w:val="Hyperlink"/>
            <w:rFonts w:eastAsia="MS Mincho" w:cs="Arial"/>
            <w:lang w:eastAsia="ja-JP"/>
          </w:rPr>
          <w:t>R1-1611166</w:t>
        </w:r>
      </w:hyperlink>
      <w:r w:rsidR="00FA168F" w:rsidRPr="00B527D0">
        <w:rPr>
          <w:rFonts w:eastAsia="MS Mincho" w:cs="Arial"/>
          <w:lang w:eastAsia="ja-JP"/>
        </w:rPr>
        <w:t>,</w:t>
      </w:r>
      <w:r w:rsidR="00C909A4" w:rsidRPr="00B527D0">
        <w:rPr>
          <w:rFonts w:eastAsia="MS Mincho" w:cs="Arial"/>
          <w:lang w:eastAsia="ja-JP"/>
        </w:rPr>
        <w:t xml:space="preserve"> </w:t>
      </w:r>
      <w:r w:rsidR="00FA168F" w:rsidRPr="00B527D0">
        <w:rPr>
          <w:rFonts w:eastAsia="MS Mincho" w:cs="Arial"/>
          <w:lang w:eastAsia="ja-JP"/>
        </w:rPr>
        <w:t>Discussion on CSI feedback for short TTI, Huawei, HiSilicon, RAN1#87, Reno, November 2016.</w:t>
      </w:r>
    </w:p>
    <w:p w14:paraId="53DC2910" w14:textId="60340569" w:rsidR="00FA168F" w:rsidRPr="00B527D0" w:rsidRDefault="002A6960" w:rsidP="00FA168F">
      <w:pPr>
        <w:pStyle w:val="Reference"/>
        <w:numPr>
          <w:ilvl w:val="0"/>
          <w:numId w:val="18"/>
        </w:numPr>
        <w:jc w:val="left"/>
        <w:rPr>
          <w:rFonts w:eastAsia="MS Mincho" w:cs="Arial"/>
          <w:lang w:val="en-US" w:eastAsia="ja-JP"/>
        </w:rPr>
      </w:pPr>
      <w:hyperlink r:id="rId19" w:history="1">
        <w:r w:rsidR="006F4F7F" w:rsidRPr="00B527D0">
          <w:rPr>
            <w:rStyle w:val="Hyperlink"/>
            <w:rFonts w:eastAsia="MS Mincho" w:cs="Arial"/>
            <w:iCs/>
            <w:lang w:eastAsia="ja-JP"/>
          </w:rPr>
          <w:t>R1-1611775</w:t>
        </w:r>
      </w:hyperlink>
      <w:r w:rsidR="00FA168F" w:rsidRPr="00B527D0">
        <w:rPr>
          <w:rFonts w:eastAsia="MS Mincho" w:cs="Arial"/>
          <w:iCs/>
          <w:lang w:eastAsia="ja-JP"/>
        </w:rPr>
        <w:t>, Design of sPUCCH for CSI in shortened TTI length, LG Electronics</w:t>
      </w:r>
      <w:r w:rsidR="00FA168F" w:rsidRPr="00B527D0">
        <w:rPr>
          <w:rFonts w:eastAsia="MS Mincho" w:cs="Arial"/>
          <w:lang w:eastAsia="ja-JP"/>
        </w:rPr>
        <w:t>, RAN1#87, Reno, November 2016.</w:t>
      </w:r>
      <w:r w:rsidR="00FA168F" w:rsidRPr="00B527D0">
        <w:rPr>
          <w:rFonts w:eastAsia="MS Mincho" w:cs="Arial"/>
          <w:lang w:val="en-US" w:eastAsia="ja-JP"/>
        </w:rPr>
        <w:t xml:space="preserve"> </w:t>
      </w:r>
    </w:p>
    <w:p w14:paraId="40202D32" w14:textId="46C07A3D" w:rsidR="00FA168F" w:rsidRPr="00B527D0" w:rsidRDefault="002A6960" w:rsidP="00FA168F">
      <w:pPr>
        <w:pStyle w:val="Reference"/>
        <w:numPr>
          <w:ilvl w:val="0"/>
          <w:numId w:val="18"/>
        </w:numPr>
        <w:jc w:val="left"/>
        <w:rPr>
          <w:rFonts w:eastAsia="MS Mincho" w:cs="Arial"/>
          <w:lang w:val="en-US" w:eastAsia="ja-JP"/>
        </w:rPr>
      </w:pPr>
      <w:hyperlink r:id="rId20" w:history="1">
        <w:r w:rsidR="006F4F7F" w:rsidRPr="00B527D0">
          <w:rPr>
            <w:rStyle w:val="Hyperlink"/>
            <w:rFonts w:eastAsia="MS Mincho" w:cs="Arial"/>
            <w:lang w:val="en-US" w:eastAsia="ja-JP"/>
          </w:rPr>
          <w:t>R1-1611503</w:t>
        </w:r>
      </w:hyperlink>
      <w:r w:rsidR="00FA168F" w:rsidRPr="00B527D0">
        <w:rPr>
          <w:rFonts w:eastAsia="MS Mincho" w:cs="Arial"/>
          <w:lang w:val="en-US" w:eastAsia="ja-JP"/>
        </w:rPr>
        <w:t>, Fast CSI for 1ms TTI, Ericsson</w:t>
      </w:r>
      <w:r w:rsidR="00FA168F" w:rsidRPr="00B527D0">
        <w:rPr>
          <w:rFonts w:eastAsia="MS Mincho" w:cs="Arial"/>
          <w:lang w:eastAsia="ja-JP"/>
        </w:rPr>
        <w:t>, RAN1#87, Reno, November 2016.</w:t>
      </w:r>
    </w:p>
    <w:p w14:paraId="2D729D99" w14:textId="611E61FB" w:rsidR="00FA168F" w:rsidRPr="00B527D0" w:rsidRDefault="002A6960" w:rsidP="00FA168F">
      <w:pPr>
        <w:pStyle w:val="Reference"/>
        <w:numPr>
          <w:ilvl w:val="0"/>
          <w:numId w:val="18"/>
        </w:numPr>
        <w:jc w:val="left"/>
        <w:rPr>
          <w:rFonts w:eastAsia="MS Mincho" w:cs="Arial"/>
          <w:lang w:val="en-US" w:eastAsia="ja-JP"/>
        </w:rPr>
      </w:pPr>
      <w:hyperlink r:id="rId21" w:history="1">
        <w:r w:rsidR="006F4F7F" w:rsidRPr="00B527D0">
          <w:rPr>
            <w:rStyle w:val="Hyperlink"/>
            <w:rFonts w:eastAsia="MS Mincho" w:cs="Arial"/>
            <w:lang w:val="en-US" w:eastAsia="ja-JP"/>
          </w:rPr>
          <w:t>R1-1611767</w:t>
        </w:r>
      </w:hyperlink>
      <w:r w:rsidR="00FA168F" w:rsidRPr="00B527D0">
        <w:rPr>
          <w:rFonts w:eastAsia="MS Mincho" w:cs="Arial"/>
          <w:lang w:val="en-US" w:eastAsia="ja-JP"/>
        </w:rPr>
        <w:t xml:space="preserve">, CSI feedback for 1ms TTI with shortened processing time, LG Electronics, </w:t>
      </w:r>
      <w:r w:rsidR="00FA168F" w:rsidRPr="00B527D0">
        <w:rPr>
          <w:rFonts w:eastAsia="MS Mincho" w:cs="Arial"/>
          <w:lang w:eastAsia="ja-JP"/>
        </w:rPr>
        <w:t>RAN1#87, Reno, November 2016.</w:t>
      </w:r>
    </w:p>
    <w:p w14:paraId="2114C688" w14:textId="65A1C2A2" w:rsidR="00FA168F" w:rsidRPr="00B527D0" w:rsidRDefault="002A6960" w:rsidP="00FA168F">
      <w:pPr>
        <w:pStyle w:val="Reference"/>
        <w:numPr>
          <w:ilvl w:val="0"/>
          <w:numId w:val="18"/>
        </w:numPr>
        <w:jc w:val="left"/>
        <w:rPr>
          <w:rFonts w:eastAsia="MS Mincho" w:cs="Arial"/>
          <w:lang w:val="en-US" w:eastAsia="ja-JP"/>
        </w:rPr>
      </w:pPr>
      <w:hyperlink r:id="rId22" w:history="1">
        <w:r w:rsidR="006F4F7F" w:rsidRPr="00B527D0">
          <w:rPr>
            <w:rStyle w:val="Hyperlink"/>
            <w:rFonts w:eastAsia="MS Mincho" w:cs="Arial"/>
            <w:lang w:val="en-US" w:eastAsia="ja-JP"/>
          </w:rPr>
          <w:t>R1-1612401</w:t>
        </w:r>
      </w:hyperlink>
      <w:r w:rsidR="00FA168F" w:rsidRPr="00B527D0">
        <w:rPr>
          <w:rFonts w:eastAsia="MS Mincho" w:cs="Arial"/>
          <w:lang w:val="en-US" w:eastAsia="ja-JP"/>
        </w:rPr>
        <w:t>, CSI measurement and reporting for processing time reduction with 1ms TTI</w:t>
      </w:r>
      <w:r w:rsidR="00FA168F" w:rsidRPr="00B527D0">
        <w:rPr>
          <w:rFonts w:eastAsia="MS Mincho" w:cs="Arial"/>
          <w:lang w:val="en-US" w:eastAsia="ja-JP"/>
        </w:rPr>
        <w:tab/>
        <w:t>Samsung</w:t>
      </w:r>
    </w:p>
    <w:p w14:paraId="351121FA" w14:textId="09B4A2A3" w:rsidR="00FA168F" w:rsidRPr="00B527D0" w:rsidRDefault="002A6960" w:rsidP="00FA168F">
      <w:pPr>
        <w:pStyle w:val="Reference"/>
        <w:numPr>
          <w:ilvl w:val="0"/>
          <w:numId w:val="18"/>
        </w:numPr>
        <w:jc w:val="left"/>
        <w:rPr>
          <w:rFonts w:eastAsia="MS Mincho" w:cs="Arial"/>
          <w:lang w:val="en-US" w:eastAsia="ja-JP"/>
        </w:rPr>
      </w:pPr>
      <w:hyperlink r:id="rId23" w:history="1">
        <w:r w:rsidR="006F4F7F" w:rsidRPr="00B527D0">
          <w:rPr>
            <w:rStyle w:val="Hyperlink"/>
            <w:rFonts w:eastAsia="MS Mincho" w:cs="Arial"/>
            <w:lang w:val="en-US" w:eastAsia="ja-JP"/>
          </w:rPr>
          <w:t>R1-1612692</w:t>
        </w:r>
      </w:hyperlink>
      <w:r w:rsidR="00FA168F" w:rsidRPr="00B527D0">
        <w:rPr>
          <w:rFonts w:eastAsia="MS Mincho" w:cs="Arial"/>
          <w:lang w:val="en-US" w:eastAsia="ja-JP"/>
        </w:rPr>
        <w:tab/>
        <w:t>, Views on CSI feedback for 1ms TTI with shortened processing time</w:t>
      </w:r>
      <w:r w:rsidR="00FA168F" w:rsidRPr="00B527D0">
        <w:rPr>
          <w:rFonts w:eastAsia="MS Mincho" w:cs="Arial"/>
          <w:lang w:val="en-US" w:eastAsia="ja-JP"/>
        </w:rPr>
        <w:tab/>
        <w:t xml:space="preserve">NTT DOCOMO, INC., </w:t>
      </w:r>
      <w:r w:rsidR="00FA168F" w:rsidRPr="00B527D0">
        <w:rPr>
          <w:rFonts w:eastAsia="MS Mincho" w:cs="Arial"/>
          <w:lang w:eastAsia="ja-JP"/>
        </w:rPr>
        <w:t>RAN1#87, Reno, November 2016.</w:t>
      </w:r>
    </w:p>
    <w:p w14:paraId="6D51541A" w14:textId="71CFFC43" w:rsidR="009C47D7" w:rsidRPr="00B527D0" w:rsidRDefault="002A6960" w:rsidP="009C47D7">
      <w:pPr>
        <w:pStyle w:val="Reference"/>
        <w:numPr>
          <w:ilvl w:val="0"/>
          <w:numId w:val="18"/>
        </w:numPr>
        <w:jc w:val="left"/>
        <w:textAlignment w:val="auto"/>
        <w:rPr>
          <w:rFonts w:cs="Arial"/>
        </w:rPr>
      </w:pPr>
      <w:hyperlink r:id="rId24" w:history="1">
        <w:r w:rsidR="006F4F7F" w:rsidRPr="00B527D0">
          <w:rPr>
            <w:rStyle w:val="Hyperlink"/>
            <w:rFonts w:eastAsia="MS Mincho" w:cs="Arial"/>
            <w:lang w:val="en-US" w:eastAsia="ja-JP"/>
          </w:rPr>
          <w:t>R1-1612931</w:t>
        </w:r>
      </w:hyperlink>
      <w:r w:rsidR="00FA168F" w:rsidRPr="00B527D0">
        <w:rPr>
          <w:rFonts w:eastAsia="MS Mincho" w:cs="Arial"/>
          <w:lang w:val="en-US" w:eastAsia="ja-JP"/>
        </w:rPr>
        <w:t xml:space="preserve">, On CSI and SRS Timing with 1-ms TTI, Nokia, Alcatel-Lucent Shanghai Bell, </w:t>
      </w:r>
      <w:r w:rsidR="00FA168F" w:rsidRPr="00B527D0">
        <w:rPr>
          <w:rFonts w:eastAsia="MS Mincho" w:cs="Arial"/>
          <w:lang w:eastAsia="ja-JP"/>
        </w:rPr>
        <w:t>RAN1#87, Reno, November 2016.</w:t>
      </w:r>
      <w:r w:rsidR="009C47D7" w:rsidRPr="00B527D0">
        <w:rPr>
          <w:rFonts w:cs="Arial"/>
        </w:rPr>
        <w:t xml:space="preserve">    </w:t>
      </w:r>
    </w:p>
    <w:p w14:paraId="641452F1" w14:textId="530D8742" w:rsidR="00C909A4" w:rsidRPr="00B527D0" w:rsidRDefault="002A6960" w:rsidP="00C909A4">
      <w:pPr>
        <w:pStyle w:val="Reference"/>
        <w:numPr>
          <w:ilvl w:val="0"/>
          <w:numId w:val="18"/>
        </w:numPr>
        <w:jc w:val="left"/>
        <w:textAlignment w:val="auto"/>
        <w:rPr>
          <w:rFonts w:cs="Arial"/>
        </w:rPr>
      </w:pPr>
      <w:hyperlink r:id="rId25" w:history="1">
        <w:r w:rsidR="006F4F7F" w:rsidRPr="00B527D0">
          <w:rPr>
            <w:rStyle w:val="Hyperlink"/>
            <w:rFonts w:cs="Arial"/>
          </w:rPr>
          <w:t>R1-1703262</w:t>
        </w:r>
      </w:hyperlink>
      <w:r w:rsidR="00C909A4" w:rsidRPr="00B527D0">
        <w:rPr>
          <w:rFonts w:cs="Arial"/>
        </w:rPr>
        <w:t xml:space="preserve">, Design aspects of sPUCCH, Ericsson, RAN1#88, February 2017 </w:t>
      </w:r>
    </w:p>
    <w:p w14:paraId="1B684BF6" w14:textId="490ABEA0" w:rsidR="00B84E17" w:rsidRDefault="002A6960" w:rsidP="00B84E17">
      <w:pPr>
        <w:pStyle w:val="Reference"/>
        <w:numPr>
          <w:ilvl w:val="0"/>
          <w:numId w:val="18"/>
        </w:numPr>
        <w:jc w:val="left"/>
        <w:textAlignment w:val="auto"/>
        <w:rPr>
          <w:rFonts w:cs="Arial"/>
        </w:rPr>
      </w:pPr>
      <w:hyperlink r:id="rId26" w:history="1">
        <w:r w:rsidR="006F4F7F" w:rsidRPr="00B527D0">
          <w:rPr>
            <w:rStyle w:val="Hyperlink"/>
            <w:rFonts w:cs="Arial"/>
          </w:rPr>
          <w:t>R1-1703255</w:t>
        </w:r>
      </w:hyperlink>
      <w:r w:rsidR="00C909A4" w:rsidRPr="00B527D0">
        <w:rPr>
          <w:rFonts w:cs="Arial"/>
        </w:rPr>
        <w:t xml:space="preserve">, On supported </w:t>
      </w:r>
      <w:r w:rsidR="005125E6">
        <w:rPr>
          <w:rFonts w:cs="Arial"/>
        </w:rPr>
        <w:t>sTTI</w:t>
      </w:r>
      <w:r w:rsidR="00C909A4" w:rsidRPr="00B527D0">
        <w:rPr>
          <w:rFonts w:cs="Arial"/>
        </w:rPr>
        <w:t xml:space="preserve"> combinations, Ericsson, RAN1#88, February 2017</w:t>
      </w:r>
      <w:bookmarkStart w:id="283" w:name="_Ref496793471"/>
    </w:p>
    <w:p w14:paraId="3E628441" w14:textId="78461583" w:rsidR="00CC09F7" w:rsidRPr="00B84E17" w:rsidRDefault="00711EF1" w:rsidP="00B84E17">
      <w:pPr>
        <w:pStyle w:val="Reference"/>
        <w:numPr>
          <w:ilvl w:val="0"/>
          <w:numId w:val="18"/>
        </w:numPr>
        <w:jc w:val="left"/>
        <w:textAlignment w:val="auto"/>
        <w:rPr>
          <w:rFonts w:cs="Arial"/>
        </w:rPr>
      </w:pPr>
      <w:r w:rsidRPr="00B84E17">
        <w:t xml:space="preserve">TS </w:t>
      </w:r>
      <w:hyperlink r:id="rId27" w:history="1">
        <w:r w:rsidRPr="00B84E17">
          <w:rPr>
            <w:rStyle w:val="Hyperlink"/>
          </w:rPr>
          <w:t>36</w:t>
        </w:r>
        <w:r w:rsidR="00B84E17">
          <w:rPr>
            <w:rStyle w:val="Hyperlink"/>
          </w:rPr>
          <w:t>.</w:t>
        </w:r>
        <w:r w:rsidRPr="00B84E17">
          <w:rPr>
            <w:rStyle w:val="Hyperlink"/>
          </w:rPr>
          <w:t>213</w:t>
        </w:r>
        <w:bookmarkEnd w:id="283"/>
      </w:hyperlink>
      <w:r w:rsidR="00B84E17">
        <w:t>, V14.4</w:t>
      </w:r>
      <w:r w:rsidR="00B84E17" w:rsidRPr="00B84E17">
        <w:t xml:space="preserve"> Evolved Universal Terrestrial Radio Access (E-UTRA); Physical layer procedures</w:t>
      </w:r>
      <w:r w:rsidR="00B84E17">
        <w:t>.</w:t>
      </w:r>
    </w:p>
    <w:p w14:paraId="7C09DB29" w14:textId="77777777" w:rsidR="00CC09F7" w:rsidRPr="00B527D0" w:rsidRDefault="00CC09F7">
      <w:pPr>
        <w:overflowPunct/>
        <w:autoSpaceDE/>
        <w:autoSpaceDN/>
        <w:adjustRightInd/>
        <w:spacing w:after="0"/>
        <w:jc w:val="left"/>
        <w:textAlignment w:val="auto"/>
        <w:rPr>
          <w:rFonts w:cs="Arial"/>
        </w:rPr>
      </w:pPr>
      <w:r w:rsidRPr="00B527D0">
        <w:rPr>
          <w:rFonts w:cs="Arial"/>
        </w:rPr>
        <w:br w:type="page"/>
      </w:r>
    </w:p>
    <w:p w14:paraId="762F1685" w14:textId="488D9141" w:rsidR="00CC09F7" w:rsidRPr="00B527D0" w:rsidRDefault="00CC09F7" w:rsidP="00E22DD5">
      <w:pPr>
        <w:pStyle w:val="Heading1"/>
        <w:numPr>
          <w:ilvl w:val="0"/>
          <w:numId w:val="0"/>
        </w:numPr>
        <w:ind w:left="432" w:hanging="432"/>
      </w:pPr>
      <w:r w:rsidRPr="00B527D0">
        <w:lastRenderedPageBreak/>
        <w:t>Appendix Email Discussion status</w:t>
      </w:r>
    </w:p>
    <w:p w14:paraId="077FDF8F" w14:textId="77777777" w:rsidR="00CC09F7" w:rsidRPr="00B527D0" w:rsidRDefault="00CC09F7" w:rsidP="00CC09F7">
      <w:pPr>
        <w:pStyle w:val="Heading2"/>
      </w:pPr>
      <w:r w:rsidRPr="00B527D0">
        <w:t xml:space="preserve">Offline consensus: </w:t>
      </w:r>
    </w:p>
    <w:p w14:paraId="4FB03283" w14:textId="67A0F205" w:rsidR="00CC09F7" w:rsidRPr="00B527D0" w:rsidRDefault="00CC09F7" w:rsidP="00CC09F7">
      <w:pPr>
        <w:pStyle w:val="ListParagraph"/>
        <w:numPr>
          <w:ilvl w:val="0"/>
          <w:numId w:val="29"/>
        </w:numPr>
        <w:rPr>
          <w:rFonts w:cs="Arial"/>
          <w:lang w:eastAsia="x-none"/>
        </w:rPr>
      </w:pPr>
      <w:r w:rsidRPr="00B527D0">
        <w:rPr>
          <w:rFonts w:cs="Arial"/>
          <w:lang w:eastAsia="x-none"/>
        </w:rPr>
        <w:t xml:space="preserve">Only aperiodic CSI reporting is intended to be supported for the </w:t>
      </w:r>
      <w:r w:rsidR="005125E6">
        <w:rPr>
          <w:rFonts w:cs="Arial"/>
          <w:lang w:eastAsia="x-none"/>
        </w:rPr>
        <w:t>sTTI</w:t>
      </w:r>
      <w:r w:rsidRPr="00B527D0">
        <w:rPr>
          <w:rFonts w:cs="Arial"/>
          <w:lang w:eastAsia="x-none"/>
        </w:rPr>
        <w:t xml:space="preserve"> operation in Rel-15 WI with up to 3-bit trigger.</w:t>
      </w:r>
    </w:p>
    <w:p w14:paraId="358EA2F5" w14:textId="77777777" w:rsidR="00CC09F7" w:rsidRPr="00B527D0" w:rsidRDefault="00CC09F7" w:rsidP="00CC09F7">
      <w:pPr>
        <w:pStyle w:val="ListParagraph"/>
        <w:numPr>
          <w:ilvl w:val="1"/>
          <w:numId w:val="29"/>
        </w:numPr>
        <w:rPr>
          <w:rFonts w:cs="Arial"/>
          <w:highlight w:val="yellow"/>
          <w:lang w:eastAsia="x-none"/>
        </w:rPr>
      </w:pPr>
      <w:r w:rsidRPr="00B527D0">
        <w:rPr>
          <w:rFonts w:cs="Arial"/>
          <w:highlight w:val="yellow"/>
          <w:lang w:eastAsia="x-none"/>
        </w:rPr>
        <w:t>- FFS: Restrictions</w:t>
      </w:r>
    </w:p>
    <w:p w14:paraId="3C0E62E7" w14:textId="77777777" w:rsidR="00CC09F7" w:rsidRPr="00B527D0" w:rsidRDefault="00CC09F7" w:rsidP="00CC09F7">
      <w:pPr>
        <w:pStyle w:val="ListParagraph"/>
        <w:numPr>
          <w:ilvl w:val="0"/>
          <w:numId w:val="29"/>
        </w:numPr>
        <w:rPr>
          <w:rFonts w:cs="Arial"/>
          <w:lang w:eastAsia="x-none"/>
        </w:rPr>
      </w:pPr>
      <w:r w:rsidRPr="00B527D0">
        <w:rPr>
          <w:rFonts w:cs="Arial"/>
          <w:lang w:eastAsia="x-none"/>
        </w:rPr>
        <w:t xml:space="preserve">The A-CSI triggered by sDCI is reported via sPUSCH. </w:t>
      </w:r>
    </w:p>
    <w:p w14:paraId="0EF4FFDA" w14:textId="77777777" w:rsidR="00CC09F7" w:rsidRPr="00B527D0" w:rsidRDefault="00CC09F7" w:rsidP="00CC09F7">
      <w:pPr>
        <w:pStyle w:val="ListParagraph"/>
        <w:numPr>
          <w:ilvl w:val="0"/>
          <w:numId w:val="29"/>
        </w:numPr>
        <w:rPr>
          <w:rFonts w:cs="Arial"/>
          <w:lang w:eastAsia="x-none"/>
        </w:rPr>
      </w:pPr>
      <w:r w:rsidRPr="00B527D0">
        <w:rPr>
          <w:rFonts w:cs="Arial"/>
          <w:lang w:eastAsia="x-none"/>
        </w:rPr>
        <w:t>For A-CSI triggered by sDCI, the reporting timeline is the same as the sPUSCH scheduling timeline.</w:t>
      </w:r>
    </w:p>
    <w:p w14:paraId="6808100E" w14:textId="77777777" w:rsidR="00CC09F7" w:rsidRPr="00B527D0" w:rsidRDefault="00CC09F7" w:rsidP="00CC09F7">
      <w:pPr>
        <w:pStyle w:val="ListParagraph"/>
        <w:numPr>
          <w:ilvl w:val="0"/>
          <w:numId w:val="29"/>
        </w:numPr>
        <w:rPr>
          <w:rFonts w:cs="Arial"/>
          <w:lang w:eastAsia="x-none"/>
        </w:rPr>
      </w:pPr>
      <w:r w:rsidRPr="00B527D0">
        <w:rPr>
          <w:rFonts w:cs="Arial"/>
          <w:lang w:eastAsia="x-none"/>
        </w:rPr>
        <w:t>A zero power/non-zero power CSI-RS configuration with an increased periodicity as compared to the legacy LTE is not supported/introduced.</w:t>
      </w:r>
    </w:p>
    <w:p w14:paraId="185CDC54" w14:textId="703539B7" w:rsidR="00CC09F7" w:rsidRPr="00B527D0" w:rsidRDefault="00CC09F7" w:rsidP="00CC09F7">
      <w:pPr>
        <w:pStyle w:val="ListParagraph"/>
        <w:numPr>
          <w:ilvl w:val="0"/>
          <w:numId w:val="29"/>
        </w:numPr>
        <w:rPr>
          <w:rFonts w:cs="Arial"/>
          <w:lang w:eastAsia="x-none"/>
        </w:rPr>
      </w:pPr>
      <w:r w:rsidRPr="00B527D0">
        <w:rPr>
          <w:rFonts w:cs="Arial"/>
          <w:lang w:eastAsia="x-none"/>
        </w:rPr>
        <w:t xml:space="preserve">For the </w:t>
      </w:r>
      <w:r w:rsidR="005125E6">
        <w:rPr>
          <w:rFonts w:cs="Arial"/>
          <w:lang w:eastAsia="x-none"/>
        </w:rPr>
        <w:t>sTTI</w:t>
      </w:r>
      <w:r w:rsidRPr="00B527D0">
        <w:rPr>
          <w:rFonts w:cs="Arial"/>
          <w:lang w:eastAsia="x-none"/>
        </w:rPr>
        <w:t xml:space="preserve"> based aperiodic CSI reporting, the subband sizes are increased at least for 2/3os </w:t>
      </w:r>
      <w:r w:rsidR="005125E6">
        <w:rPr>
          <w:rFonts w:cs="Arial"/>
          <w:lang w:eastAsia="x-none"/>
        </w:rPr>
        <w:t>sTTI</w:t>
      </w:r>
      <w:r w:rsidRPr="00B527D0">
        <w:rPr>
          <w:rFonts w:cs="Arial"/>
          <w:lang w:eastAsia="x-none"/>
        </w:rPr>
        <w:t xml:space="preserve"> as compared to those of the legacy LTE.</w:t>
      </w:r>
    </w:p>
    <w:p w14:paraId="3D7D43EE" w14:textId="77777777" w:rsidR="00CC09F7" w:rsidRPr="00B527D0" w:rsidRDefault="00CC09F7" w:rsidP="00CC09F7">
      <w:pPr>
        <w:pStyle w:val="ListParagraph"/>
        <w:numPr>
          <w:ilvl w:val="1"/>
          <w:numId w:val="29"/>
        </w:numPr>
        <w:rPr>
          <w:rFonts w:cs="Arial"/>
          <w:highlight w:val="yellow"/>
          <w:lang w:eastAsia="x-none"/>
        </w:rPr>
      </w:pPr>
      <w:r w:rsidRPr="00B527D0">
        <w:rPr>
          <w:rFonts w:cs="Arial"/>
          <w:highlight w:val="yellow"/>
          <w:lang w:eastAsia="x-none"/>
        </w:rPr>
        <w:t>- The subband size is FFS.</w:t>
      </w:r>
    </w:p>
    <w:p w14:paraId="09A3CAE5" w14:textId="77777777" w:rsidR="00CC09F7" w:rsidRPr="00B527D0" w:rsidRDefault="00CC09F7" w:rsidP="00CC09F7">
      <w:pPr>
        <w:pStyle w:val="ListParagraph"/>
        <w:numPr>
          <w:ilvl w:val="0"/>
          <w:numId w:val="29"/>
        </w:numPr>
        <w:rPr>
          <w:rFonts w:cs="Arial"/>
          <w:lang w:eastAsia="x-none"/>
        </w:rPr>
      </w:pPr>
    </w:p>
    <w:p w14:paraId="6BAB66F7" w14:textId="77777777" w:rsidR="00CC09F7" w:rsidRPr="00B527D0" w:rsidRDefault="00CC09F7" w:rsidP="00CC09F7">
      <w:pPr>
        <w:pStyle w:val="Heading2"/>
      </w:pPr>
      <w:r w:rsidRPr="00B527D0">
        <w:t xml:space="preserve">Proposed offline consensus: </w:t>
      </w:r>
    </w:p>
    <w:p w14:paraId="2999FF47" w14:textId="60B7F69E" w:rsidR="00CC09F7" w:rsidRPr="00B527D0" w:rsidRDefault="00CC09F7" w:rsidP="00CC09F7">
      <w:pPr>
        <w:pStyle w:val="ListParagraph"/>
        <w:numPr>
          <w:ilvl w:val="0"/>
          <w:numId w:val="28"/>
        </w:numPr>
        <w:rPr>
          <w:rFonts w:cs="Arial"/>
          <w:lang w:eastAsia="x-none"/>
        </w:rPr>
      </w:pPr>
      <w:r w:rsidRPr="00B527D0">
        <w:rPr>
          <w:rFonts w:cs="Arial"/>
          <w:lang w:eastAsia="x-none"/>
        </w:rPr>
        <w:t xml:space="preserve">For enabling fast CSI reporting (if supported), the CSI reference resource is defined based on the </w:t>
      </w:r>
      <w:r w:rsidR="005125E6">
        <w:rPr>
          <w:rFonts w:cs="Arial"/>
          <w:lang w:eastAsia="x-none"/>
        </w:rPr>
        <w:t>sTTI</w:t>
      </w:r>
      <w:r w:rsidRPr="00B527D0">
        <w:rPr>
          <w:rFonts w:cs="Arial"/>
          <w:lang w:eastAsia="x-none"/>
        </w:rPr>
        <w:t xml:space="preserve"> length.</w:t>
      </w:r>
    </w:p>
    <w:p w14:paraId="13E30FDA" w14:textId="6D14A2B9" w:rsidR="00CC09F7" w:rsidRPr="00B527D0" w:rsidRDefault="00CC09F7" w:rsidP="00CC09F7">
      <w:pPr>
        <w:pStyle w:val="ListParagraph"/>
        <w:numPr>
          <w:ilvl w:val="0"/>
          <w:numId w:val="28"/>
        </w:numPr>
        <w:rPr>
          <w:rFonts w:cs="Arial"/>
          <w:lang w:eastAsia="x-none"/>
        </w:rPr>
      </w:pPr>
      <w:r w:rsidRPr="00B527D0">
        <w:rPr>
          <w:rFonts w:cs="Arial"/>
          <w:lang w:eastAsia="x-none"/>
        </w:rPr>
        <w:t xml:space="preserve">Under the 2-symbol </w:t>
      </w:r>
      <w:r w:rsidR="005125E6">
        <w:rPr>
          <w:rFonts w:cs="Arial"/>
          <w:lang w:eastAsia="x-none"/>
        </w:rPr>
        <w:t>sTTI</w:t>
      </w:r>
      <w:r w:rsidRPr="00B527D0">
        <w:rPr>
          <w:rFonts w:cs="Arial"/>
          <w:lang w:eastAsia="x-none"/>
        </w:rPr>
        <w:t xml:space="preserve"> operation, the </w:t>
      </w:r>
      <w:r w:rsidR="005125E6">
        <w:rPr>
          <w:rFonts w:cs="Arial"/>
          <w:lang w:eastAsia="x-none"/>
        </w:rPr>
        <w:t>sTTI</w:t>
      </w:r>
      <w:r w:rsidRPr="00B527D0">
        <w:rPr>
          <w:rFonts w:cs="Arial"/>
          <w:lang w:eastAsia="x-none"/>
        </w:rPr>
        <w:t xml:space="preserve"> reference resource is defined based on the CSI reporting timing, and can be a 2-symbol or a 3-symbol </w:t>
      </w:r>
      <w:r w:rsidR="005125E6">
        <w:rPr>
          <w:rFonts w:cs="Arial"/>
          <w:lang w:eastAsia="x-none"/>
        </w:rPr>
        <w:t>sTTI</w:t>
      </w:r>
      <w:r w:rsidRPr="00B527D0">
        <w:rPr>
          <w:rFonts w:cs="Arial"/>
          <w:lang w:eastAsia="x-none"/>
        </w:rPr>
        <w:t xml:space="preserve">. If based on the timing, a 3-symbol </w:t>
      </w:r>
      <w:r w:rsidR="005125E6">
        <w:rPr>
          <w:rFonts w:cs="Arial"/>
          <w:lang w:eastAsia="x-none"/>
        </w:rPr>
        <w:t>sTTI</w:t>
      </w:r>
      <w:r w:rsidRPr="00B527D0">
        <w:rPr>
          <w:rFonts w:cs="Arial"/>
          <w:lang w:eastAsia="x-none"/>
        </w:rPr>
        <w:t xml:space="preserve"> is a reference resource, for CSI computation, TBS scaling shall be performed.</w:t>
      </w:r>
    </w:p>
    <w:p w14:paraId="08E3D57F" w14:textId="77777777" w:rsidR="00CC09F7" w:rsidRPr="00B527D0" w:rsidRDefault="00CC09F7" w:rsidP="00CC09F7">
      <w:pPr>
        <w:pStyle w:val="ListParagraph"/>
        <w:numPr>
          <w:ilvl w:val="1"/>
          <w:numId w:val="28"/>
        </w:numPr>
        <w:rPr>
          <w:rFonts w:cs="Arial"/>
          <w:lang w:eastAsia="x-none"/>
        </w:rPr>
      </w:pPr>
      <w:r w:rsidRPr="00B527D0">
        <w:rPr>
          <w:rFonts w:cs="Arial"/>
          <w:highlight w:val="yellow"/>
          <w:lang w:eastAsia="x-none"/>
        </w:rPr>
        <w:t>- FFS on the details of the TBS scaling.</w:t>
      </w:r>
    </w:p>
    <w:p w14:paraId="27821E90" w14:textId="6874E302" w:rsidR="00CC09F7" w:rsidRPr="00B527D0" w:rsidRDefault="00CC09F7" w:rsidP="00CC09F7">
      <w:pPr>
        <w:pStyle w:val="ListParagraph"/>
        <w:numPr>
          <w:ilvl w:val="0"/>
          <w:numId w:val="28"/>
        </w:numPr>
        <w:rPr>
          <w:rFonts w:cs="Arial"/>
          <w:lang w:eastAsia="x-none"/>
        </w:rPr>
      </w:pPr>
      <w:r w:rsidRPr="00B527D0">
        <w:rPr>
          <w:rFonts w:cs="Arial"/>
          <w:lang w:eastAsia="x-none"/>
        </w:rPr>
        <w:t xml:space="preserve">If A-CSI is triggered from sDCI, the </w:t>
      </w:r>
      <w:r w:rsidR="005125E6">
        <w:rPr>
          <w:rFonts w:cs="Arial"/>
          <w:lang w:eastAsia="x-none"/>
        </w:rPr>
        <w:t>sTTI</w:t>
      </w:r>
      <w:r w:rsidRPr="00B527D0">
        <w:rPr>
          <w:rFonts w:cs="Arial"/>
          <w:lang w:eastAsia="x-none"/>
        </w:rPr>
        <w:t xml:space="preserve">s in MBSFN subframes are not considered as valid downlink </w:t>
      </w:r>
      <w:r w:rsidR="005125E6">
        <w:rPr>
          <w:rFonts w:cs="Arial"/>
          <w:lang w:eastAsia="x-none"/>
        </w:rPr>
        <w:t>sTTI</w:t>
      </w:r>
      <w:r w:rsidRPr="00B527D0">
        <w:rPr>
          <w:rFonts w:cs="Arial"/>
          <w:lang w:eastAsia="x-none"/>
        </w:rPr>
        <w:t>s for TM1-8</w:t>
      </w:r>
      <w:r w:rsidRPr="00B527D0">
        <w:rPr>
          <w:rFonts w:cs="Arial"/>
          <w:b/>
          <w:lang w:eastAsia="x-none"/>
        </w:rPr>
        <w:t xml:space="preserve">. </w:t>
      </w:r>
    </w:p>
    <w:p w14:paraId="45DB4158" w14:textId="77777777" w:rsidR="00CC09F7" w:rsidRPr="00B527D0" w:rsidRDefault="00CC09F7" w:rsidP="00CC09F7">
      <w:pPr>
        <w:pStyle w:val="ListParagraph"/>
        <w:numPr>
          <w:ilvl w:val="0"/>
          <w:numId w:val="28"/>
        </w:numPr>
        <w:rPr>
          <w:rFonts w:cs="Arial"/>
          <w:lang w:eastAsia="x-none"/>
        </w:rPr>
      </w:pPr>
      <w:r w:rsidRPr="00B527D0">
        <w:rPr>
          <w:rFonts w:cs="Arial"/>
          <w:lang w:eastAsia="x-none"/>
        </w:rPr>
        <w:t>A DCI only triggers a CSI reporting on PUSCH and sDCI only triggers a CSI reporting on sPUSCH.</w:t>
      </w:r>
    </w:p>
    <w:p w14:paraId="0766AE4E" w14:textId="77777777" w:rsidR="00CC09F7" w:rsidRPr="00B527D0" w:rsidRDefault="00CC09F7" w:rsidP="00CC09F7">
      <w:pPr>
        <w:pStyle w:val="Heading2"/>
      </w:pPr>
      <w:r w:rsidRPr="00B527D0">
        <w:t>proposals</w:t>
      </w:r>
    </w:p>
    <w:p w14:paraId="093997F1" w14:textId="77777777" w:rsidR="00CC09F7" w:rsidRPr="00B527D0" w:rsidRDefault="00CC09F7" w:rsidP="00CC09F7">
      <w:pPr>
        <w:rPr>
          <w:rFonts w:cs="Arial"/>
          <w:lang w:eastAsia="x-none"/>
        </w:rPr>
      </w:pPr>
      <w:r w:rsidRPr="00B527D0">
        <w:rPr>
          <w:rFonts w:cs="Arial"/>
          <w:lang w:eastAsia="x-none"/>
        </w:rPr>
        <w:t>Proposal 6: The UE shall assume no CSI-RS overhead over the reference resource.</w:t>
      </w:r>
    </w:p>
    <w:p w14:paraId="0186B579" w14:textId="77777777" w:rsidR="00CC09F7" w:rsidRPr="00B527D0" w:rsidRDefault="00CC09F7" w:rsidP="00CC09F7">
      <w:pPr>
        <w:rPr>
          <w:rFonts w:cs="Arial"/>
          <w:lang w:eastAsia="x-none"/>
        </w:rPr>
      </w:pPr>
      <w:r w:rsidRPr="00B527D0">
        <w:rPr>
          <w:rFonts w:cs="Arial"/>
          <w:lang w:eastAsia="x-none"/>
        </w:rPr>
        <w:t xml:space="preserve">Proposal 5: Over the reference resource, the UE shall derive the control overhead based on the configured RB sets.    </w:t>
      </w:r>
    </w:p>
    <w:p w14:paraId="27EC89EC" w14:textId="77777777" w:rsidR="00CC09F7" w:rsidRPr="00B527D0" w:rsidRDefault="00CC09F7" w:rsidP="00CC09F7">
      <w:pPr>
        <w:rPr>
          <w:rFonts w:cs="Arial"/>
          <w:lang w:eastAsia="x-none"/>
        </w:rPr>
      </w:pPr>
      <w:r w:rsidRPr="00B527D0">
        <w:rPr>
          <w:rFonts w:cs="Arial"/>
          <w:lang w:eastAsia="x-none"/>
        </w:rPr>
        <w:t>Proposal 7: The UE shall assume no DMRS overhead over the reference resource if it is not configured with one of the DMRS-based TMs.</w:t>
      </w:r>
    </w:p>
    <w:p w14:paraId="3873E798" w14:textId="77777777" w:rsidR="00CC09F7" w:rsidRPr="00B527D0" w:rsidRDefault="00CC09F7" w:rsidP="00CC09F7">
      <w:pPr>
        <w:rPr>
          <w:rFonts w:cs="Arial"/>
          <w:lang w:eastAsia="x-none"/>
        </w:rPr>
      </w:pPr>
      <w:r w:rsidRPr="00B527D0">
        <w:rPr>
          <w:rFonts w:cs="Arial"/>
          <w:lang w:eastAsia="x-none"/>
        </w:rPr>
        <w:t>Proposal 8: The UE shall assume the CRS overhead over the reference resource in one of the following ways:</w:t>
      </w:r>
    </w:p>
    <w:p w14:paraId="518894C9" w14:textId="77777777" w:rsidR="00CC09F7" w:rsidRPr="00B527D0" w:rsidRDefault="00CC09F7" w:rsidP="00CC09F7">
      <w:pPr>
        <w:ind w:firstLine="567"/>
        <w:rPr>
          <w:rFonts w:cs="Arial"/>
          <w:lang w:eastAsia="x-none"/>
        </w:rPr>
      </w:pPr>
      <w:r w:rsidRPr="00B527D0">
        <w:rPr>
          <w:rFonts w:cs="Arial"/>
          <w:lang w:eastAsia="x-none"/>
        </w:rPr>
        <w:t>- The CRS overhead is dependent on the presence of the CRS in the reference resource.</w:t>
      </w:r>
    </w:p>
    <w:p w14:paraId="7FC0CE03" w14:textId="77777777" w:rsidR="00CC09F7" w:rsidRPr="00B527D0" w:rsidRDefault="00CC09F7" w:rsidP="00CC09F7">
      <w:pPr>
        <w:ind w:firstLine="567"/>
        <w:rPr>
          <w:rFonts w:cs="Arial"/>
          <w:lang w:eastAsia="x-none"/>
        </w:rPr>
      </w:pPr>
      <w:r w:rsidRPr="00B527D0">
        <w:rPr>
          <w:rFonts w:cs="Arial"/>
          <w:lang w:eastAsia="x-none"/>
        </w:rPr>
        <w:t>- A fixed CRS overhead shall be assumed over all reference resources.</w:t>
      </w:r>
    </w:p>
    <w:p w14:paraId="22AC57FB" w14:textId="77777777" w:rsidR="00CC09F7" w:rsidRPr="00B527D0" w:rsidRDefault="00CC09F7" w:rsidP="00CC09F7">
      <w:pPr>
        <w:ind w:firstLine="567"/>
        <w:rPr>
          <w:rFonts w:cs="Arial"/>
          <w:lang w:eastAsia="x-none"/>
        </w:rPr>
      </w:pPr>
      <w:r w:rsidRPr="00B527D0">
        <w:rPr>
          <w:rFonts w:cs="Arial"/>
          <w:lang w:eastAsia="x-none"/>
        </w:rPr>
        <w:t xml:space="preserve">   </w:t>
      </w:r>
      <w:r w:rsidRPr="00B62EBF">
        <w:rPr>
          <w:rFonts w:cs="Arial"/>
          <w:highlight w:val="yellow"/>
          <w:lang w:eastAsia="x-none"/>
        </w:rPr>
        <w:t>- FFS on how to define a fixed CRS overhead.</w:t>
      </w:r>
    </w:p>
    <w:p w14:paraId="48B7FAA5" w14:textId="1279CC5B" w:rsidR="00CC09F7" w:rsidRPr="00B527D0" w:rsidRDefault="00CC09F7" w:rsidP="00CC09F7">
      <w:pPr>
        <w:rPr>
          <w:rFonts w:cs="Arial"/>
          <w:lang w:eastAsia="x-none"/>
        </w:rPr>
      </w:pPr>
      <w:r w:rsidRPr="00B527D0">
        <w:rPr>
          <w:rFonts w:cs="Arial"/>
          <w:lang w:eastAsia="x-none"/>
        </w:rPr>
        <w:t xml:space="preserve">Proposal 12: For a bandwidth class with a single CC, the max. number of CSI processes supported on a CC within a band with PDSCH TM10 is reported separately for the 1ms TTI and </w:t>
      </w:r>
      <w:r w:rsidR="005125E6">
        <w:rPr>
          <w:rFonts w:cs="Arial"/>
          <w:lang w:eastAsia="x-none"/>
        </w:rPr>
        <w:t>sTTI</w:t>
      </w:r>
      <w:r w:rsidRPr="00B527D0">
        <w:rPr>
          <w:rFonts w:cs="Arial"/>
          <w:lang w:eastAsia="x-none"/>
        </w:rPr>
        <w:t xml:space="preserve"> operations.</w:t>
      </w:r>
    </w:p>
    <w:p w14:paraId="55176A33" w14:textId="7D54E7B5" w:rsidR="00CC09F7" w:rsidRPr="00B527D0" w:rsidRDefault="00CC09F7" w:rsidP="00CC09F7">
      <w:pPr>
        <w:rPr>
          <w:rFonts w:cs="Arial"/>
          <w:lang w:eastAsia="x-none"/>
        </w:rPr>
      </w:pPr>
      <w:r w:rsidRPr="00B527D0">
        <w:rPr>
          <w:rFonts w:cs="Arial"/>
          <w:lang w:eastAsia="x-none"/>
        </w:rPr>
        <w:t xml:space="preserve">Proposal 13: For a bandwidth class with multiple CCs, the max. number of CSI processes supported on a single CC within a band with PDSCH TM10 is reported separately for the 1ms TTI and </w:t>
      </w:r>
      <w:r w:rsidR="005125E6">
        <w:rPr>
          <w:rFonts w:cs="Arial"/>
          <w:lang w:eastAsia="x-none"/>
        </w:rPr>
        <w:t>sTTI</w:t>
      </w:r>
      <w:r w:rsidRPr="00B527D0">
        <w:rPr>
          <w:rFonts w:cs="Arial"/>
          <w:lang w:eastAsia="x-none"/>
        </w:rPr>
        <w:t xml:space="preserve"> operations.</w:t>
      </w:r>
    </w:p>
    <w:p w14:paraId="7E5213B2" w14:textId="59E42995" w:rsidR="00CC09F7" w:rsidRPr="00B527D0" w:rsidRDefault="00CC09F7" w:rsidP="00CC09F7">
      <w:pPr>
        <w:rPr>
          <w:rFonts w:cs="Arial"/>
          <w:lang w:eastAsia="x-none"/>
        </w:rPr>
      </w:pPr>
      <w:r w:rsidRPr="00B527D0">
        <w:rPr>
          <w:rFonts w:cs="Arial"/>
          <w:lang w:eastAsia="x-none"/>
        </w:rPr>
        <w:t xml:space="preserve">Proposal 14: For a bandwidth class with multiple CCs, the max. number of CSI processes supported on all CCs within a band with PDSCH TM10 is reported separately for the 1ms TTI and </w:t>
      </w:r>
      <w:r w:rsidR="005125E6">
        <w:rPr>
          <w:rFonts w:cs="Arial"/>
          <w:lang w:eastAsia="x-none"/>
        </w:rPr>
        <w:t>sTTI</w:t>
      </w:r>
      <w:r w:rsidRPr="00B527D0">
        <w:rPr>
          <w:rFonts w:cs="Arial"/>
          <w:lang w:eastAsia="x-none"/>
        </w:rPr>
        <w:t xml:space="preserve"> operations.</w:t>
      </w:r>
    </w:p>
    <w:p w14:paraId="2DCA8675" w14:textId="50DEF9EC" w:rsidR="00CC09F7" w:rsidRPr="00B527D0" w:rsidRDefault="00CC09F7" w:rsidP="00CC09F7">
      <w:pPr>
        <w:rPr>
          <w:rFonts w:cs="Arial"/>
          <w:lang w:eastAsia="x-none"/>
        </w:rPr>
      </w:pPr>
      <w:r w:rsidRPr="00B527D0">
        <w:rPr>
          <w:rFonts w:cs="Arial"/>
          <w:lang w:eastAsia="x-none"/>
        </w:rPr>
        <w:t xml:space="preserve">Proposal 15: For the </w:t>
      </w:r>
      <w:r w:rsidR="005125E6">
        <w:rPr>
          <w:rFonts w:cs="Arial"/>
          <w:lang w:eastAsia="x-none"/>
        </w:rPr>
        <w:t>sTTI</w:t>
      </w:r>
      <w:r w:rsidRPr="00B527D0">
        <w:rPr>
          <w:rFonts w:cs="Arial"/>
          <w:lang w:eastAsia="x-none"/>
        </w:rPr>
        <w:t xml:space="preserve"> operation, the UE capability which indicates the maximum number of CSI processes to be updated per UE across CCs is reported separately from that of the 1ms TTI operation. </w:t>
      </w:r>
    </w:p>
    <w:p w14:paraId="4D94F478" w14:textId="790954D9" w:rsidR="00CC09F7" w:rsidRPr="00B527D0" w:rsidRDefault="00CC09F7" w:rsidP="00CC09F7">
      <w:pPr>
        <w:ind w:firstLine="567"/>
        <w:rPr>
          <w:rFonts w:cs="Arial"/>
          <w:lang w:eastAsia="x-none"/>
        </w:rPr>
      </w:pPr>
      <w:r w:rsidRPr="00B527D0">
        <w:rPr>
          <w:rFonts w:cs="Arial"/>
          <w:lang w:eastAsia="x-none"/>
        </w:rPr>
        <w:t xml:space="preserve">- Maximum number of CSI processes to be updated indicated in the UE capability </w:t>
      </w:r>
      <w:r w:rsidR="00983F9C" w:rsidRPr="00B527D0">
        <w:rPr>
          <w:rFonts w:cs="Arial"/>
          <w:lang w:eastAsia="x-none"/>
        </w:rPr>
        <w:t>signalling</w:t>
      </w:r>
      <w:r w:rsidRPr="00B527D0">
        <w:rPr>
          <w:rFonts w:cs="Arial"/>
          <w:lang w:eastAsia="x-none"/>
        </w:rPr>
        <w:t xml:space="preserve"> should not be less than </w:t>
      </w:r>
      <w:r w:rsidRPr="00B62EBF">
        <w:rPr>
          <w:rFonts w:cs="Arial"/>
          <w:highlight w:val="yellow"/>
          <w:lang w:eastAsia="x-none"/>
        </w:rPr>
        <w:t>X. FFS X.</w:t>
      </w:r>
    </w:p>
    <w:p w14:paraId="667381BF" w14:textId="54DA40AE" w:rsidR="00CC09F7" w:rsidRPr="00B527D0" w:rsidRDefault="00CC09F7" w:rsidP="00CC09F7">
      <w:pPr>
        <w:rPr>
          <w:rFonts w:cs="Arial"/>
          <w:lang w:eastAsia="x-none"/>
        </w:rPr>
      </w:pPr>
      <w:r w:rsidRPr="00B527D0">
        <w:rPr>
          <w:rFonts w:cs="Arial"/>
          <w:lang w:eastAsia="x-none"/>
        </w:rPr>
        <w:t xml:space="preserve">Proposal 18: Under the 2-symbol </w:t>
      </w:r>
      <w:r w:rsidR="005125E6">
        <w:rPr>
          <w:rFonts w:cs="Arial"/>
          <w:lang w:eastAsia="x-none"/>
        </w:rPr>
        <w:t>sTTI</w:t>
      </w:r>
      <w:r w:rsidRPr="00B527D0">
        <w:rPr>
          <w:rFonts w:cs="Arial"/>
          <w:lang w:eastAsia="x-none"/>
        </w:rPr>
        <w:t xml:space="preserve"> operation, if CFI = 2 or 3, </w:t>
      </w:r>
      <w:r w:rsidR="005125E6">
        <w:rPr>
          <w:rFonts w:cs="Arial"/>
          <w:lang w:eastAsia="x-none"/>
        </w:rPr>
        <w:t>sTTI</w:t>
      </w:r>
      <w:r w:rsidRPr="00B527D0">
        <w:rPr>
          <w:rFonts w:cs="Arial"/>
          <w:lang w:eastAsia="x-none"/>
        </w:rPr>
        <w:t xml:space="preserve">#0 is not a valid DL </w:t>
      </w:r>
      <w:r w:rsidR="005125E6">
        <w:rPr>
          <w:rFonts w:cs="Arial"/>
          <w:lang w:eastAsia="x-none"/>
        </w:rPr>
        <w:t>sTTI</w:t>
      </w:r>
      <w:r w:rsidRPr="00B527D0">
        <w:rPr>
          <w:rFonts w:cs="Arial"/>
          <w:lang w:eastAsia="x-none"/>
        </w:rPr>
        <w:t>.</w:t>
      </w:r>
    </w:p>
    <w:p w14:paraId="78457AA3" w14:textId="1699E7C0" w:rsidR="00CC09F7" w:rsidRPr="00B527D0" w:rsidRDefault="00CC09F7" w:rsidP="00CC09F7">
      <w:pPr>
        <w:rPr>
          <w:rFonts w:cs="Arial"/>
          <w:lang w:eastAsia="x-none"/>
        </w:rPr>
      </w:pPr>
      <w:r w:rsidRPr="00B527D0">
        <w:rPr>
          <w:rFonts w:cs="Arial"/>
          <w:lang w:eastAsia="x-none"/>
        </w:rPr>
        <w:lastRenderedPageBreak/>
        <w:t xml:space="preserve">Proposal 19: If a UE is configured with TM1-9 or TM10 with a single CSI process for a serving cell, then the triggering </w:t>
      </w:r>
      <w:r w:rsidR="005125E6">
        <w:rPr>
          <w:rFonts w:cs="Arial"/>
          <w:lang w:eastAsia="x-none"/>
        </w:rPr>
        <w:t>sTTI</w:t>
      </w:r>
      <w:r w:rsidRPr="00B527D0">
        <w:rPr>
          <w:rFonts w:cs="Arial"/>
          <w:lang w:eastAsia="x-none"/>
        </w:rPr>
        <w:t xml:space="preserve">, if it is a valid DL </w:t>
      </w:r>
      <w:r w:rsidR="005125E6">
        <w:rPr>
          <w:rFonts w:cs="Arial"/>
          <w:lang w:eastAsia="x-none"/>
        </w:rPr>
        <w:t>sTTI</w:t>
      </w:r>
      <w:r w:rsidRPr="00B527D0">
        <w:rPr>
          <w:rFonts w:cs="Arial"/>
          <w:lang w:eastAsia="x-none"/>
        </w:rPr>
        <w:t>, is the reference resource.</w:t>
      </w:r>
    </w:p>
    <w:p w14:paraId="1C7EC1E4" w14:textId="0BF7673A" w:rsidR="00CC09F7" w:rsidRPr="00B527D0" w:rsidRDefault="00CC09F7" w:rsidP="00CC09F7">
      <w:pPr>
        <w:rPr>
          <w:rFonts w:cs="Arial"/>
          <w:lang w:eastAsia="x-none"/>
        </w:rPr>
      </w:pPr>
      <w:r w:rsidRPr="00B527D0">
        <w:rPr>
          <w:rFonts w:cs="Arial"/>
          <w:lang w:eastAsia="x-none"/>
        </w:rPr>
        <w:t xml:space="preserve">Proposal 20: If a UE is configured with TM1-9 or TM10 with a single CSI process for a serving cell, if the triggering </w:t>
      </w:r>
      <w:r w:rsidR="005125E6">
        <w:rPr>
          <w:rFonts w:cs="Arial"/>
          <w:lang w:eastAsia="x-none"/>
        </w:rPr>
        <w:t>sTTI</w:t>
      </w:r>
      <w:r w:rsidRPr="00B527D0">
        <w:rPr>
          <w:rFonts w:cs="Arial"/>
          <w:lang w:eastAsia="x-none"/>
        </w:rPr>
        <w:t xml:space="preserve"> is a not valid DL </w:t>
      </w:r>
      <w:r w:rsidR="005125E6">
        <w:rPr>
          <w:rFonts w:cs="Arial"/>
          <w:lang w:eastAsia="x-none"/>
        </w:rPr>
        <w:t>sTTI</w:t>
      </w:r>
      <w:r w:rsidRPr="00B527D0">
        <w:rPr>
          <w:rFonts w:cs="Arial"/>
          <w:lang w:eastAsia="x-none"/>
        </w:rPr>
        <w:t xml:space="preserve">, the former </w:t>
      </w:r>
      <w:r w:rsidR="005125E6">
        <w:rPr>
          <w:rFonts w:cs="Arial"/>
          <w:lang w:eastAsia="x-none"/>
        </w:rPr>
        <w:t>sTTI</w:t>
      </w:r>
      <w:r w:rsidRPr="00B527D0">
        <w:rPr>
          <w:rFonts w:cs="Arial"/>
          <w:lang w:eastAsia="x-none"/>
        </w:rPr>
        <w:t xml:space="preserve"> is considered as a reference resource.</w:t>
      </w:r>
    </w:p>
    <w:p w14:paraId="45E11946" w14:textId="13F67606" w:rsidR="00CC09F7" w:rsidRDefault="00CC09F7" w:rsidP="00CC09F7">
      <w:pPr>
        <w:rPr>
          <w:rFonts w:cs="Arial"/>
          <w:lang w:eastAsia="x-none"/>
        </w:rPr>
      </w:pPr>
      <w:r w:rsidRPr="00B62EBF">
        <w:rPr>
          <w:rFonts w:cs="Arial"/>
          <w:highlight w:val="yellow"/>
          <w:lang w:eastAsia="x-none"/>
        </w:rPr>
        <w:t xml:space="preserve">Proposal 21: If a UE is configured with TM10 and multiple CSI processes for a serving </w:t>
      </w:r>
      <w:r w:rsidR="00983F9C" w:rsidRPr="00B62EBF">
        <w:rPr>
          <w:rFonts w:cs="Arial"/>
          <w:highlight w:val="yellow"/>
          <w:lang w:eastAsia="x-none"/>
        </w:rPr>
        <w:t>cell, the</w:t>
      </w:r>
      <w:r w:rsidRPr="00B62EBF">
        <w:rPr>
          <w:rFonts w:cs="Arial"/>
          <w:highlight w:val="yellow"/>
          <w:lang w:eastAsia="x-none"/>
        </w:rPr>
        <w:t xml:space="preserve"> definition of the </w:t>
      </w:r>
      <w:r w:rsidR="005125E6">
        <w:rPr>
          <w:rFonts w:cs="Arial"/>
          <w:highlight w:val="yellow"/>
          <w:lang w:eastAsia="x-none"/>
        </w:rPr>
        <w:t>sTTI</w:t>
      </w:r>
      <w:r w:rsidRPr="00B62EBF">
        <w:rPr>
          <w:rFonts w:cs="Arial"/>
          <w:highlight w:val="yellow"/>
          <w:lang w:eastAsia="x-none"/>
        </w:rPr>
        <w:t xml:space="preserve"> reference resource is FFS.</w:t>
      </w:r>
    </w:p>
    <w:p w14:paraId="3F93791D" w14:textId="77777777" w:rsidR="00B62EBF" w:rsidRPr="00B527D0" w:rsidRDefault="00B62EBF" w:rsidP="00B62EBF">
      <w:pPr>
        <w:rPr>
          <w:rFonts w:cs="Arial"/>
          <w:lang w:eastAsia="x-none"/>
        </w:rPr>
      </w:pPr>
      <w:r w:rsidRPr="00B62EBF">
        <w:rPr>
          <w:rFonts w:cs="Arial"/>
          <w:highlight w:val="yellow"/>
          <w:lang w:eastAsia="x-none"/>
        </w:rPr>
        <w:t>Proposal 27: Whether some restrictions on the number of back-to-back CSI reporting triggers should be introduced or not is FFS.</w:t>
      </w:r>
    </w:p>
    <w:p w14:paraId="21DB9A1F" w14:textId="77777777" w:rsidR="00B62EBF" w:rsidRPr="00B527D0" w:rsidRDefault="00B62EBF" w:rsidP="00CC09F7">
      <w:pPr>
        <w:rPr>
          <w:rFonts w:cs="Arial"/>
          <w:lang w:eastAsia="x-none"/>
        </w:rPr>
      </w:pPr>
    </w:p>
    <w:p w14:paraId="67937D46" w14:textId="77777777" w:rsidR="00CC09F7" w:rsidRPr="00B527D0" w:rsidRDefault="00CC09F7" w:rsidP="00CC09F7">
      <w:pPr>
        <w:rPr>
          <w:rFonts w:cs="Arial"/>
          <w:lang w:eastAsia="x-none"/>
        </w:rPr>
      </w:pPr>
      <w:r w:rsidRPr="00B527D0">
        <w:rPr>
          <w:rFonts w:cs="Arial"/>
          <w:lang w:eastAsia="x-none"/>
        </w:rPr>
        <w:t xml:space="preserve">Proposal 22: Select between two alternatives at RAN1#90bis                          </w:t>
      </w:r>
    </w:p>
    <w:p w14:paraId="2039E762" w14:textId="5FE19C5C" w:rsidR="00CC09F7" w:rsidRPr="00B527D0" w:rsidRDefault="00CC09F7" w:rsidP="00CC09F7">
      <w:pPr>
        <w:ind w:firstLine="567"/>
        <w:rPr>
          <w:rFonts w:cs="Arial"/>
          <w:lang w:eastAsia="x-none"/>
        </w:rPr>
      </w:pPr>
      <w:r w:rsidRPr="00B527D0">
        <w:rPr>
          <w:rFonts w:cs="Arial"/>
          <w:lang w:eastAsia="x-none"/>
        </w:rPr>
        <w:t xml:space="preserve">- Alternative 1: For the </w:t>
      </w:r>
      <w:r w:rsidR="005125E6">
        <w:rPr>
          <w:rFonts w:cs="Arial"/>
          <w:lang w:eastAsia="x-none"/>
        </w:rPr>
        <w:t>sTTI</w:t>
      </w:r>
      <w:r w:rsidRPr="00B527D0">
        <w:rPr>
          <w:rFonts w:cs="Arial"/>
          <w:lang w:eastAsia="x-none"/>
        </w:rPr>
        <w:t xml:space="preserve"> operation, all the aperiodic legacy CSI reporting modes are supported. </w:t>
      </w:r>
    </w:p>
    <w:p w14:paraId="686E653A" w14:textId="77777777" w:rsidR="00CC09F7" w:rsidRPr="00B527D0" w:rsidRDefault="00CC09F7" w:rsidP="00CC09F7">
      <w:pPr>
        <w:ind w:firstLine="567"/>
        <w:rPr>
          <w:rFonts w:cs="Arial"/>
          <w:lang w:eastAsia="x-none"/>
        </w:rPr>
      </w:pPr>
      <w:r w:rsidRPr="00B527D0">
        <w:rPr>
          <w:rFonts w:cs="Arial"/>
          <w:lang w:eastAsia="x-none"/>
        </w:rPr>
        <w:t xml:space="preserve">   - FFS on reporting restrictions.</w:t>
      </w:r>
    </w:p>
    <w:p w14:paraId="6E2E5EF9" w14:textId="56B69E11" w:rsidR="00CC09F7" w:rsidRPr="00B527D0" w:rsidRDefault="00CC09F7" w:rsidP="00CC09F7">
      <w:pPr>
        <w:ind w:firstLine="567"/>
        <w:rPr>
          <w:rFonts w:cs="Arial"/>
          <w:lang w:eastAsia="x-none"/>
        </w:rPr>
      </w:pPr>
      <w:r w:rsidRPr="00B527D0">
        <w:rPr>
          <w:rFonts w:cs="Arial"/>
          <w:lang w:eastAsia="x-none"/>
        </w:rPr>
        <w:t xml:space="preserve">- Alternative 2: For the </w:t>
      </w:r>
      <w:r w:rsidR="005125E6">
        <w:rPr>
          <w:rFonts w:cs="Arial"/>
          <w:lang w:eastAsia="x-none"/>
        </w:rPr>
        <w:t>sTTI</w:t>
      </w:r>
      <w:r w:rsidRPr="00B527D0">
        <w:rPr>
          <w:rFonts w:cs="Arial"/>
          <w:lang w:eastAsia="x-none"/>
        </w:rPr>
        <w:t xml:space="preserve"> operation, </w:t>
      </w:r>
      <w:r w:rsidR="00983F9C" w:rsidRPr="00B527D0">
        <w:rPr>
          <w:rFonts w:cs="Arial"/>
          <w:lang w:eastAsia="x-none"/>
        </w:rPr>
        <w:t>the aperiodic</w:t>
      </w:r>
      <w:r w:rsidRPr="00B527D0">
        <w:rPr>
          <w:rFonts w:cs="Arial"/>
          <w:lang w:eastAsia="x-none"/>
        </w:rPr>
        <w:t xml:space="preserve"> CSI reporting modes 1-2, 2-2 and 3-2 are not supported. </w:t>
      </w:r>
    </w:p>
    <w:p w14:paraId="03FE6ECC" w14:textId="77777777" w:rsidR="00CC09F7" w:rsidRPr="00B527D0" w:rsidRDefault="00CC09F7" w:rsidP="00CC09F7">
      <w:pPr>
        <w:ind w:firstLine="567"/>
        <w:rPr>
          <w:rFonts w:cs="Arial"/>
          <w:lang w:eastAsia="x-none"/>
        </w:rPr>
      </w:pPr>
      <w:r w:rsidRPr="00B527D0">
        <w:rPr>
          <w:rFonts w:cs="Arial"/>
          <w:lang w:eastAsia="x-none"/>
        </w:rPr>
        <w:t xml:space="preserve">   </w:t>
      </w:r>
      <w:r w:rsidRPr="00B62EBF">
        <w:rPr>
          <w:rFonts w:cs="Arial"/>
          <w:highlight w:val="yellow"/>
          <w:lang w:eastAsia="x-none"/>
        </w:rPr>
        <w:t>- FFS on further reduction of the aperiodic CSI reporting modes.</w:t>
      </w:r>
    </w:p>
    <w:p w14:paraId="52ED30CB" w14:textId="27236B02" w:rsidR="00CC09F7" w:rsidRPr="00B527D0" w:rsidRDefault="00CC09F7" w:rsidP="00CC09F7">
      <w:pPr>
        <w:rPr>
          <w:rFonts w:cs="Arial"/>
          <w:lang w:eastAsia="x-none"/>
        </w:rPr>
      </w:pPr>
      <w:r w:rsidRPr="00B527D0">
        <w:rPr>
          <w:rFonts w:cs="Arial"/>
          <w:lang w:eastAsia="x-none"/>
        </w:rPr>
        <w:t xml:space="preserve">Proposal 25: The ratio of the PDSCH EPRE to CSI-RS EPRE for 1ms TTI and </w:t>
      </w:r>
      <w:r w:rsidR="005125E6">
        <w:rPr>
          <w:rFonts w:cs="Arial"/>
          <w:lang w:eastAsia="x-none"/>
        </w:rPr>
        <w:t>sTTI</w:t>
      </w:r>
      <w:r w:rsidRPr="00B527D0">
        <w:rPr>
          <w:rFonts w:cs="Arial"/>
          <w:lang w:eastAsia="x-none"/>
        </w:rPr>
        <w:t xml:space="preserve"> are:</w:t>
      </w:r>
    </w:p>
    <w:p w14:paraId="7075CDC9" w14:textId="77777777" w:rsidR="00CC09F7" w:rsidRPr="00B527D0" w:rsidRDefault="00CC09F7" w:rsidP="00CC09F7">
      <w:pPr>
        <w:ind w:firstLine="567"/>
        <w:rPr>
          <w:rFonts w:cs="Arial"/>
          <w:lang w:eastAsia="x-none"/>
        </w:rPr>
      </w:pPr>
      <w:r w:rsidRPr="00B527D0">
        <w:rPr>
          <w:rFonts w:cs="Arial"/>
          <w:lang w:eastAsia="x-none"/>
        </w:rPr>
        <w:t>- Option 1: Identical.</w:t>
      </w:r>
    </w:p>
    <w:p w14:paraId="72648364" w14:textId="77777777" w:rsidR="00CC09F7" w:rsidRPr="00B527D0" w:rsidRDefault="00CC09F7" w:rsidP="00CC09F7">
      <w:pPr>
        <w:ind w:firstLine="567"/>
        <w:rPr>
          <w:rFonts w:cs="Arial"/>
          <w:lang w:eastAsia="x-none"/>
        </w:rPr>
      </w:pPr>
      <w:r w:rsidRPr="00B527D0">
        <w:rPr>
          <w:rFonts w:cs="Arial"/>
          <w:lang w:eastAsia="x-none"/>
        </w:rPr>
        <w:t>- Option 2: Set separately.</w:t>
      </w:r>
    </w:p>
    <w:p w14:paraId="15117869" w14:textId="77777777" w:rsidR="00CC09F7" w:rsidRPr="00B527D0" w:rsidRDefault="00CC09F7" w:rsidP="00CC09F7">
      <w:pPr>
        <w:rPr>
          <w:rFonts w:cs="Arial"/>
          <w:lang w:eastAsia="x-none"/>
        </w:rPr>
      </w:pPr>
      <w:r w:rsidRPr="00B62EBF">
        <w:rPr>
          <w:rFonts w:cs="Arial"/>
          <w:highlight w:val="yellow"/>
          <w:lang w:eastAsia="x-none"/>
        </w:rPr>
        <w:t>Proposal 27: Whether some restrictions on the number of back-to-back CSI reporting triggers should be introduced or not is FFS.</w:t>
      </w:r>
    </w:p>
    <w:p w14:paraId="0C2F3855" w14:textId="64787413" w:rsidR="00CC09F7" w:rsidRPr="00B527D0" w:rsidRDefault="00CC09F7" w:rsidP="00192F4B">
      <w:pPr>
        <w:pStyle w:val="Reference"/>
        <w:numPr>
          <w:ilvl w:val="0"/>
          <w:numId w:val="0"/>
        </w:numPr>
        <w:jc w:val="left"/>
        <w:textAlignment w:val="auto"/>
        <w:rPr>
          <w:rFonts w:cs="Arial"/>
        </w:rPr>
      </w:pPr>
    </w:p>
    <w:sectPr w:rsidR="00CC09F7" w:rsidRPr="00B527D0">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B6C5F" w14:textId="77777777" w:rsidR="002A6960" w:rsidRDefault="002A6960">
      <w:r>
        <w:separator/>
      </w:r>
    </w:p>
  </w:endnote>
  <w:endnote w:type="continuationSeparator" w:id="0">
    <w:p w14:paraId="68591E84" w14:textId="77777777" w:rsidR="002A6960" w:rsidRDefault="002A6960">
      <w:r>
        <w:continuationSeparator/>
      </w:r>
    </w:p>
  </w:endnote>
  <w:endnote w:type="continuationNotice" w:id="1">
    <w:p w14:paraId="6CEFBB8A" w14:textId="77777777" w:rsidR="002A6960" w:rsidRDefault="002A6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6F39E" w14:textId="1DA31551" w:rsidR="00314D8D" w:rsidRDefault="00314D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13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13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F6AEB" w14:textId="77777777" w:rsidR="002A6960" w:rsidRDefault="002A6960">
      <w:r>
        <w:separator/>
      </w:r>
    </w:p>
  </w:footnote>
  <w:footnote w:type="continuationSeparator" w:id="0">
    <w:p w14:paraId="79D2728A" w14:textId="77777777" w:rsidR="002A6960" w:rsidRDefault="002A6960">
      <w:r>
        <w:continuationSeparator/>
      </w:r>
    </w:p>
  </w:footnote>
  <w:footnote w:type="continuationNotice" w:id="1">
    <w:p w14:paraId="0A2D5A5F" w14:textId="77777777" w:rsidR="002A6960" w:rsidRDefault="002A6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4B637" w14:textId="77777777" w:rsidR="00314D8D" w:rsidRDefault="00314D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3E21C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1A8DA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6F0E61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B2A15"/>
    <w:multiLevelType w:val="hybridMultilevel"/>
    <w:tmpl w:val="958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9F9"/>
    <w:multiLevelType w:val="hybridMultilevel"/>
    <w:tmpl w:val="6AA49E16"/>
    <w:lvl w:ilvl="0" w:tplc="4FFAAAE4">
      <w:start w:val="1"/>
      <w:numFmt w:val="bullet"/>
      <w:lvlText w:val="›"/>
      <w:lvlJc w:val="left"/>
      <w:pPr>
        <w:tabs>
          <w:tab w:val="num" w:pos="720"/>
        </w:tabs>
        <w:ind w:left="720" w:hanging="360"/>
      </w:pPr>
      <w:rPr>
        <w:rFonts w:ascii="Arial" w:hAnsi="Arial" w:hint="default"/>
      </w:rPr>
    </w:lvl>
    <w:lvl w:ilvl="1" w:tplc="955C5170">
      <w:numFmt w:val="bullet"/>
      <w:lvlText w:val="–"/>
      <w:lvlJc w:val="left"/>
      <w:pPr>
        <w:tabs>
          <w:tab w:val="num" w:pos="1440"/>
        </w:tabs>
        <w:ind w:left="1440" w:hanging="360"/>
      </w:pPr>
      <w:rPr>
        <w:rFonts w:ascii="Ericsson Capital TT" w:hAnsi="Ericsson Capital TT" w:hint="default"/>
      </w:rPr>
    </w:lvl>
    <w:lvl w:ilvl="2" w:tplc="A41AF3C4">
      <w:numFmt w:val="bullet"/>
      <w:lvlText w:val="›"/>
      <w:lvlJc w:val="left"/>
      <w:pPr>
        <w:tabs>
          <w:tab w:val="num" w:pos="2160"/>
        </w:tabs>
        <w:ind w:left="2160" w:hanging="360"/>
      </w:pPr>
      <w:rPr>
        <w:rFonts w:ascii="Ericsson Capital TT" w:hAnsi="Ericsson Capital TT" w:hint="default"/>
      </w:rPr>
    </w:lvl>
    <w:lvl w:ilvl="3" w:tplc="60F05916">
      <w:numFmt w:val="bullet"/>
      <w:lvlText w:val="-"/>
      <w:lvlJc w:val="left"/>
      <w:pPr>
        <w:tabs>
          <w:tab w:val="num" w:pos="2880"/>
        </w:tabs>
        <w:ind w:left="2880" w:hanging="360"/>
      </w:pPr>
      <w:rPr>
        <w:rFonts w:ascii="Ericsson Capital TT" w:hAnsi="Ericsson Capital TT" w:hint="default"/>
      </w:rPr>
    </w:lvl>
    <w:lvl w:ilvl="4" w:tplc="286E6DF6" w:tentative="1">
      <w:start w:val="1"/>
      <w:numFmt w:val="bullet"/>
      <w:lvlText w:val="›"/>
      <w:lvlJc w:val="left"/>
      <w:pPr>
        <w:tabs>
          <w:tab w:val="num" w:pos="3600"/>
        </w:tabs>
        <w:ind w:left="3600" w:hanging="360"/>
      </w:pPr>
      <w:rPr>
        <w:rFonts w:ascii="Arial" w:hAnsi="Arial" w:hint="default"/>
      </w:rPr>
    </w:lvl>
    <w:lvl w:ilvl="5" w:tplc="0B10E3A2" w:tentative="1">
      <w:start w:val="1"/>
      <w:numFmt w:val="bullet"/>
      <w:lvlText w:val="›"/>
      <w:lvlJc w:val="left"/>
      <w:pPr>
        <w:tabs>
          <w:tab w:val="num" w:pos="4320"/>
        </w:tabs>
        <w:ind w:left="4320" w:hanging="360"/>
      </w:pPr>
      <w:rPr>
        <w:rFonts w:ascii="Arial" w:hAnsi="Arial" w:hint="default"/>
      </w:rPr>
    </w:lvl>
    <w:lvl w:ilvl="6" w:tplc="6714C38C" w:tentative="1">
      <w:start w:val="1"/>
      <w:numFmt w:val="bullet"/>
      <w:lvlText w:val="›"/>
      <w:lvlJc w:val="left"/>
      <w:pPr>
        <w:tabs>
          <w:tab w:val="num" w:pos="5040"/>
        </w:tabs>
        <w:ind w:left="5040" w:hanging="360"/>
      </w:pPr>
      <w:rPr>
        <w:rFonts w:ascii="Arial" w:hAnsi="Arial" w:hint="default"/>
      </w:rPr>
    </w:lvl>
    <w:lvl w:ilvl="7" w:tplc="627CABB0" w:tentative="1">
      <w:start w:val="1"/>
      <w:numFmt w:val="bullet"/>
      <w:lvlText w:val="›"/>
      <w:lvlJc w:val="left"/>
      <w:pPr>
        <w:tabs>
          <w:tab w:val="num" w:pos="5760"/>
        </w:tabs>
        <w:ind w:left="5760" w:hanging="360"/>
      </w:pPr>
      <w:rPr>
        <w:rFonts w:ascii="Arial" w:hAnsi="Arial" w:hint="default"/>
      </w:rPr>
    </w:lvl>
    <w:lvl w:ilvl="8" w:tplc="05140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F81257"/>
    <w:multiLevelType w:val="hybridMultilevel"/>
    <w:tmpl w:val="7BF62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05330"/>
    <w:multiLevelType w:val="hybridMultilevel"/>
    <w:tmpl w:val="467C7DEA"/>
    <w:lvl w:ilvl="0" w:tplc="F502D860">
      <w:start w:val="1"/>
      <w:numFmt w:val="bullet"/>
      <w:lvlText w:val="›"/>
      <w:lvlJc w:val="left"/>
      <w:pPr>
        <w:tabs>
          <w:tab w:val="num" w:pos="720"/>
        </w:tabs>
        <w:ind w:left="720" w:hanging="360"/>
      </w:pPr>
      <w:rPr>
        <w:rFonts w:ascii="Arial" w:hAnsi="Arial" w:hint="default"/>
      </w:rPr>
    </w:lvl>
    <w:lvl w:ilvl="1" w:tplc="603C68F6">
      <w:numFmt w:val="bullet"/>
      <w:lvlText w:val="–"/>
      <w:lvlJc w:val="left"/>
      <w:pPr>
        <w:tabs>
          <w:tab w:val="num" w:pos="1440"/>
        </w:tabs>
        <w:ind w:left="1440" w:hanging="360"/>
      </w:pPr>
      <w:rPr>
        <w:rFonts w:ascii="Ericsson Capital TT" w:hAnsi="Ericsson Capital TT" w:hint="default"/>
      </w:rPr>
    </w:lvl>
    <w:lvl w:ilvl="2" w:tplc="266E9646">
      <w:numFmt w:val="bullet"/>
      <w:lvlText w:val="›"/>
      <w:lvlJc w:val="left"/>
      <w:pPr>
        <w:tabs>
          <w:tab w:val="num" w:pos="2160"/>
        </w:tabs>
        <w:ind w:left="2160" w:hanging="360"/>
      </w:pPr>
      <w:rPr>
        <w:rFonts w:ascii="Ericsson Capital TT" w:hAnsi="Ericsson Capital TT" w:hint="default"/>
      </w:rPr>
    </w:lvl>
    <w:lvl w:ilvl="3" w:tplc="6FE896A4">
      <w:numFmt w:val="bullet"/>
      <w:lvlText w:val="-"/>
      <w:lvlJc w:val="left"/>
      <w:pPr>
        <w:tabs>
          <w:tab w:val="num" w:pos="2880"/>
        </w:tabs>
        <w:ind w:left="2880" w:hanging="360"/>
      </w:pPr>
      <w:rPr>
        <w:rFonts w:ascii="Ericsson Capital TT" w:hAnsi="Ericsson Capital TT" w:hint="default"/>
      </w:rPr>
    </w:lvl>
    <w:lvl w:ilvl="4" w:tplc="93E0674C" w:tentative="1">
      <w:start w:val="1"/>
      <w:numFmt w:val="bullet"/>
      <w:lvlText w:val="›"/>
      <w:lvlJc w:val="left"/>
      <w:pPr>
        <w:tabs>
          <w:tab w:val="num" w:pos="3600"/>
        </w:tabs>
        <w:ind w:left="3600" w:hanging="360"/>
      </w:pPr>
      <w:rPr>
        <w:rFonts w:ascii="Arial" w:hAnsi="Arial" w:hint="default"/>
      </w:rPr>
    </w:lvl>
    <w:lvl w:ilvl="5" w:tplc="442EE39C" w:tentative="1">
      <w:start w:val="1"/>
      <w:numFmt w:val="bullet"/>
      <w:lvlText w:val="›"/>
      <w:lvlJc w:val="left"/>
      <w:pPr>
        <w:tabs>
          <w:tab w:val="num" w:pos="4320"/>
        </w:tabs>
        <w:ind w:left="4320" w:hanging="360"/>
      </w:pPr>
      <w:rPr>
        <w:rFonts w:ascii="Arial" w:hAnsi="Arial" w:hint="default"/>
      </w:rPr>
    </w:lvl>
    <w:lvl w:ilvl="6" w:tplc="5D18F618" w:tentative="1">
      <w:start w:val="1"/>
      <w:numFmt w:val="bullet"/>
      <w:lvlText w:val="›"/>
      <w:lvlJc w:val="left"/>
      <w:pPr>
        <w:tabs>
          <w:tab w:val="num" w:pos="5040"/>
        </w:tabs>
        <w:ind w:left="5040" w:hanging="360"/>
      </w:pPr>
      <w:rPr>
        <w:rFonts w:ascii="Arial" w:hAnsi="Arial" w:hint="default"/>
      </w:rPr>
    </w:lvl>
    <w:lvl w:ilvl="7" w:tplc="803A991E" w:tentative="1">
      <w:start w:val="1"/>
      <w:numFmt w:val="bullet"/>
      <w:lvlText w:val="›"/>
      <w:lvlJc w:val="left"/>
      <w:pPr>
        <w:tabs>
          <w:tab w:val="num" w:pos="5760"/>
        </w:tabs>
        <w:ind w:left="5760" w:hanging="360"/>
      </w:pPr>
      <w:rPr>
        <w:rFonts w:ascii="Arial" w:hAnsi="Arial" w:hint="default"/>
      </w:rPr>
    </w:lvl>
    <w:lvl w:ilvl="8" w:tplc="8E303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4566B"/>
    <w:multiLevelType w:val="hybridMultilevel"/>
    <w:tmpl w:val="07B614C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2B4136"/>
    <w:multiLevelType w:val="hybridMultilevel"/>
    <w:tmpl w:val="035C5422"/>
    <w:lvl w:ilvl="0" w:tplc="04090001">
      <w:start w:val="6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D546C"/>
    <w:multiLevelType w:val="hybridMultilevel"/>
    <w:tmpl w:val="F50A38F2"/>
    <w:lvl w:ilvl="0" w:tplc="E62A7880">
      <w:start w:val="1"/>
      <w:numFmt w:val="bullet"/>
      <w:lvlText w:val="›"/>
      <w:lvlJc w:val="left"/>
      <w:pPr>
        <w:tabs>
          <w:tab w:val="num" w:pos="720"/>
        </w:tabs>
        <w:ind w:left="720" w:hanging="360"/>
      </w:pPr>
      <w:rPr>
        <w:rFonts w:ascii="Arial" w:hAnsi="Arial" w:hint="default"/>
      </w:rPr>
    </w:lvl>
    <w:lvl w:ilvl="1" w:tplc="6870095A">
      <w:numFmt w:val="bullet"/>
      <w:lvlText w:val="–"/>
      <w:lvlJc w:val="left"/>
      <w:pPr>
        <w:tabs>
          <w:tab w:val="num" w:pos="1440"/>
        </w:tabs>
        <w:ind w:left="1440" w:hanging="360"/>
      </w:pPr>
      <w:rPr>
        <w:rFonts w:ascii="Ericsson Capital TT" w:hAnsi="Ericsson Capital TT" w:hint="default"/>
      </w:rPr>
    </w:lvl>
    <w:lvl w:ilvl="2" w:tplc="074E90CC">
      <w:numFmt w:val="bullet"/>
      <w:lvlText w:val="›"/>
      <w:lvlJc w:val="left"/>
      <w:pPr>
        <w:tabs>
          <w:tab w:val="num" w:pos="2160"/>
        </w:tabs>
        <w:ind w:left="2160" w:hanging="360"/>
      </w:pPr>
      <w:rPr>
        <w:rFonts w:ascii="Ericsson Capital TT" w:hAnsi="Ericsson Capital TT" w:hint="default"/>
      </w:rPr>
    </w:lvl>
    <w:lvl w:ilvl="3" w:tplc="8FA07BEE" w:tentative="1">
      <w:start w:val="1"/>
      <w:numFmt w:val="bullet"/>
      <w:lvlText w:val="›"/>
      <w:lvlJc w:val="left"/>
      <w:pPr>
        <w:tabs>
          <w:tab w:val="num" w:pos="2880"/>
        </w:tabs>
        <w:ind w:left="2880" w:hanging="360"/>
      </w:pPr>
      <w:rPr>
        <w:rFonts w:ascii="Arial" w:hAnsi="Arial" w:hint="default"/>
      </w:rPr>
    </w:lvl>
    <w:lvl w:ilvl="4" w:tplc="F1AC02CC" w:tentative="1">
      <w:start w:val="1"/>
      <w:numFmt w:val="bullet"/>
      <w:lvlText w:val="›"/>
      <w:lvlJc w:val="left"/>
      <w:pPr>
        <w:tabs>
          <w:tab w:val="num" w:pos="3600"/>
        </w:tabs>
        <w:ind w:left="3600" w:hanging="360"/>
      </w:pPr>
      <w:rPr>
        <w:rFonts w:ascii="Arial" w:hAnsi="Arial" w:hint="default"/>
      </w:rPr>
    </w:lvl>
    <w:lvl w:ilvl="5" w:tplc="88E0A420" w:tentative="1">
      <w:start w:val="1"/>
      <w:numFmt w:val="bullet"/>
      <w:lvlText w:val="›"/>
      <w:lvlJc w:val="left"/>
      <w:pPr>
        <w:tabs>
          <w:tab w:val="num" w:pos="4320"/>
        </w:tabs>
        <w:ind w:left="4320" w:hanging="360"/>
      </w:pPr>
      <w:rPr>
        <w:rFonts w:ascii="Arial" w:hAnsi="Arial" w:hint="default"/>
      </w:rPr>
    </w:lvl>
    <w:lvl w:ilvl="6" w:tplc="CC8EF6C0" w:tentative="1">
      <w:start w:val="1"/>
      <w:numFmt w:val="bullet"/>
      <w:lvlText w:val="›"/>
      <w:lvlJc w:val="left"/>
      <w:pPr>
        <w:tabs>
          <w:tab w:val="num" w:pos="5040"/>
        </w:tabs>
        <w:ind w:left="5040" w:hanging="360"/>
      </w:pPr>
      <w:rPr>
        <w:rFonts w:ascii="Arial" w:hAnsi="Arial" w:hint="default"/>
      </w:rPr>
    </w:lvl>
    <w:lvl w:ilvl="7" w:tplc="AEF0CE1C" w:tentative="1">
      <w:start w:val="1"/>
      <w:numFmt w:val="bullet"/>
      <w:lvlText w:val="›"/>
      <w:lvlJc w:val="left"/>
      <w:pPr>
        <w:tabs>
          <w:tab w:val="num" w:pos="5760"/>
        </w:tabs>
        <w:ind w:left="5760" w:hanging="360"/>
      </w:pPr>
      <w:rPr>
        <w:rFonts w:ascii="Arial" w:hAnsi="Arial" w:hint="default"/>
      </w:rPr>
    </w:lvl>
    <w:lvl w:ilvl="8" w:tplc="C60A18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97CE25F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C6B0D3C"/>
    <w:multiLevelType w:val="hybridMultilevel"/>
    <w:tmpl w:val="E6E4531A"/>
    <w:lvl w:ilvl="0" w:tplc="A816FC86">
      <w:start w:val="1"/>
      <w:numFmt w:val="bullet"/>
      <w:lvlText w:val="›"/>
      <w:lvlJc w:val="left"/>
      <w:pPr>
        <w:tabs>
          <w:tab w:val="num" w:pos="720"/>
        </w:tabs>
        <w:ind w:left="720" w:hanging="360"/>
      </w:pPr>
      <w:rPr>
        <w:rFonts w:ascii="Arial" w:hAnsi="Arial" w:hint="default"/>
      </w:rPr>
    </w:lvl>
    <w:lvl w:ilvl="1" w:tplc="38CAF09C">
      <w:numFmt w:val="bullet"/>
      <w:lvlText w:val="–"/>
      <w:lvlJc w:val="left"/>
      <w:pPr>
        <w:tabs>
          <w:tab w:val="num" w:pos="1440"/>
        </w:tabs>
        <w:ind w:left="1440" w:hanging="360"/>
      </w:pPr>
      <w:rPr>
        <w:rFonts w:ascii="Ericsson Capital TT" w:hAnsi="Ericsson Capital TT" w:hint="default"/>
      </w:rPr>
    </w:lvl>
    <w:lvl w:ilvl="2" w:tplc="1AE88FA4">
      <w:numFmt w:val="bullet"/>
      <w:lvlText w:val="›"/>
      <w:lvlJc w:val="left"/>
      <w:pPr>
        <w:tabs>
          <w:tab w:val="num" w:pos="2160"/>
        </w:tabs>
        <w:ind w:left="2160" w:hanging="360"/>
      </w:pPr>
      <w:rPr>
        <w:rFonts w:ascii="Ericsson Capital TT" w:hAnsi="Ericsson Capital TT" w:hint="default"/>
      </w:rPr>
    </w:lvl>
    <w:lvl w:ilvl="3" w:tplc="2C00672A" w:tentative="1">
      <w:start w:val="1"/>
      <w:numFmt w:val="bullet"/>
      <w:lvlText w:val="›"/>
      <w:lvlJc w:val="left"/>
      <w:pPr>
        <w:tabs>
          <w:tab w:val="num" w:pos="2880"/>
        </w:tabs>
        <w:ind w:left="2880" w:hanging="360"/>
      </w:pPr>
      <w:rPr>
        <w:rFonts w:ascii="Arial" w:hAnsi="Arial" w:hint="default"/>
      </w:rPr>
    </w:lvl>
    <w:lvl w:ilvl="4" w:tplc="52EA6528" w:tentative="1">
      <w:start w:val="1"/>
      <w:numFmt w:val="bullet"/>
      <w:lvlText w:val="›"/>
      <w:lvlJc w:val="left"/>
      <w:pPr>
        <w:tabs>
          <w:tab w:val="num" w:pos="3600"/>
        </w:tabs>
        <w:ind w:left="3600" w:hanging="360"/>
      </w:pPr>
      <w:rPr>
        <w:rFonts w:ascii="Arial" w:hAnsi="Arial" w:hint="default"/>
      </w:rPr>
    </w:lvl>
    <w:lvl w:ilvl="5" w:tplc="2F063EF4" w:tentative="1">
      <w:start w:val="1"/>
      <w:numFmt w:val="bullet"/>
      <w:lvlText w:val="›"/>
      <w:lvlJc w:val="left"/>
      <w:pPr>
        <w:tabs>
          <w:tab w:val="num" w:pos="4320"/>
        </w:tabs>
        <w:ind w:left="4320" w:hanging="360"/>
      </w:pPr>
      <w:rPr>
        <w:rFonts w:ascii="Arial" w:hAnsi="Arial" w:hint="default"/>
      </w:rPr>
    </w:lvl>
    <w:lvl w:ilvl="6" w:tplc="6A4C5D06" w:tentative="1">
      <w:start w:val="1"/>
      <w:numFmt w:val="bullet"/>
      <w:lvlText w:val="›"/>
      <w:lvlJc w:val="left"/>
      <w:pPr>
        <w:tabs>
          <w:tab w:val="num" w:pos="5040"/>
        </w:tabs>
        <w:ind w:left="5040" w:hanging="360"/>
      </w:pPr>
      <w:rPr>
        <w:rFonts w:ascii="Arial" w:hAnsi="Arial" w:hint="default"/>
      </w:rPr>
    </w:lvl>
    <w:lvl w:ilvl="7" w:tplc="11A659F4" w:tentative="1">
      <w:start w:val="1"/>
      <w:numFmt w:val="bullet"/>
      <w:lvlText w:val="›"/>
      <w:lvlJc w:val="left"/>
      <w:pPr>
        <w:tabs>
          <w:tab w:val="num" w:pos="5760"/>
        </w:tabs>
        <w:ind w:left="5760" w:hanging="360"/>
      </w:pPr>
      <w:rPr>
        <w:rFonts w:ascii="Arial" w:hAnsi="Arial" w:hint="default"/>
      </w:rPr>
    </w:lvl>
    <w:lvl w:ilvl="8" w:tplc="595C8E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A80A83"/>
    <w:multiLevelType w:val="hybridMultilevel"/>
    <w:tmpl w:val="FAEE46A0"/>
    <w:lvl w:ilvl="0" w:tplc="C0FAD7D0">
      <w:start w:val="1"/>
      <w:numFmt w:val="bullet"/>
      <w:lvlText w:val="›"/>
      <w:lvlJc w:val="left"/>
      <w:pPr>
        <w:tabs>
          <w:tab w:val="num" w:pos="720"/>
        </w:tabs>
        <w:ind w:left="720" w:hanging="360"/>
      </w:pPr>
      <w:rPr>
        <w:rFonts w:ascii="Arial" w:hAnsi="Arial" w:hint="default"/>
      </w:rPr>
    </w:lvl>
    <w:lvl w:ilvl="1" w:tplc="EE48CBB6">
      <w:numFmt w:val="bullet"/>
      <w:lvlText w:val="–"/>
      <w:lvlJc w:val="left"/>
      <w:pPr>
        <w:tabs>
          <w:tab w:val="num" w:pos="1440"/>
        </w:tabs>
        <w:ind w:left="1440" w:hanging="360"/>
      </w:pPr>
      <w:rPr>
        <w:rFonts w:ascii="Ericsson Capital TT" w:hAnsi="Ericsson Capital TT" w:hint="default"/>
      </w:rPr>
    </w:lvl>
    <w:lvl w:ilvl="2" w:tplc="C49AE486" w:tentative="1">
      <w:start w:val="1"/>
      <w:numFmt w:val="bullet"/>
      <w:lvlText w:val="›"/>
      <w:lvlJc w:val="left"/>
      <w:pPr>
        <w:tabs>
          <w:tab w:val="num" w:pos="2160"/>
        </w:tabs>
        <w:ind w:left="2160" w:hanging="360"/>
      </w:pPr>
      <w:rPr>
        <w:rFonts w:ascii="Arial" w:hAnsi="Arial" w:hint="default"/>
      </w:rPr>
    </w:lvl>
    <w:lvl w:ilvl="3" w:tplc="661E0FE8" w:tentative="1">
      <w:start w:val="1"/>
      <w:numFmt w:val="bullet"/>
      <w:lvlText w:val="›"/>
      <w:lvlJc w:val="left"/>
      <w:pPr>
        <w:tabs>
          <w:tab w:val="num" w:pos="2880"/>
        </w:tabs>
        <w:ind w:left="2880" w:hanging="360"/>
      </w:pPr>
      <w:rPr>
        <w:rFonts w:ascii="Arial" w:hAnsi="Arial" w:hint="default"/>
      </w:rPr>
    </w:lvl>
    <w:lvl w:ilvl="4" w:tplc="AC467C42" w:tentative="1">
      <w:start w:val="1"/>
      <w:numFmt w:val="bullet"/>
      <w:lvlText w:val="›"/>
      <w:lvlJc w:val="left"/>
      <w:pPr>
        <w:tabs>
          <w:tab w:val="num" w:pos="3600"/>
        </w:tabs>
        <w:ind w:left="3600" w:hanging="360"/>
      </w:pPr>
      <w:rPr>
        <w:rFonts w:ascii="Arial" w:hAnsi="Arial" w:hint="default"/>
      </w:rPr>
    </w:lvl>
    <w:lvl w:ilvl="5" w:tplc="5F94128C" w:tentative="1">
      <w:start w:val="1"/>
      <w:numFmt w:val="bullet"/>
      <w:lvlText w:val="›"/>
      <w:lvlJc w:val="left"/>
      <w:pPr>
        <w:tabs>
          <w:tab w:val="num" w:pos="4320"/>
        </w:tabs>
        <w:ind w:left="4320" w:hanging="360"/>
      </w:pPr>
      <w:rPr>
        <w:rFonts w:ascii="Arial" w:hAnsi="Arial" w:hint="default"/>
      </w:rPr>
    </w:lvl>
    <w:lvl w:ilvl="6" w:tplc="C8BEB802" w:tentative="1">
      <w:start w:val="1"/>
      <w:numFmt w:val="bullet"/>
      <w:lvlText w:val="›"/>
      <w:lvlJc w:val="left"/>
      <w:pPr>
        <w:tabs>
          <w:tab w:val="num" w:pos="5040"/>
        </w:tabs>
        <w:ind w:left="5040" w:hanging="360"/>
      </w:pPr>
      <w:rPr>
        <w:rFonts w:ascii="Arial" w:hAnsi="Arial" w:hint="default"/>
      </w:rPr>
    </w:lvl>
    <w:lvl w:ilvl="7" w:tplc="C66EE322" w:tentative="1">
      <w:start w:val="1"/>
      <w:numFmt w:val="bullet"/>
      <w:lvlText w:val="›"/>
      <w:lvlJc w:val="left"/>
      <w:pPr>
        <w:tabs>
          <w:tab w:val="num" w:pos="5760"/>
        </w:tabs>
        <w:ind w:left="5760" w:hanging="360"/>
      </w:pPr>
      <w:rPr>
        <w:rFonts w:ascii="Arial" w:hAnsi="Arial" w:hint="default"/>
      </w:rPr>
    </w:lvl>
    <w:lvl w:ilvl="8" w:tplc="2CAC4E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abstractNum w:abstractNumId="29" w15:restartNumberingAfterBreak="0">
    <w:nsid w:val="7D9628D9"/>
    <w:multiLevelType w:val="hybridMultilevel"/>
    <w:tmpl w:val="71C28ACE"/>
    <w:lvl w:ilvl="0" w:tplc="8C1440A8">
      <w:start w:val="1"/>
      <w:numFmt w:val="bullet"/>
      <w:lvlText w:val="›"/>
      <w:lvlJc w:val="left"/>
      <w:pPr>
        <w:tabs>
          <w:tab w:val="num" w:pos="720"/>
        </w:tabs>
        <w:ind w:left="720" w:hanging="360"/>
      </w:pPr>
      <w:rPr>
        <w:rFonts w:ascii="Arial" w:hAnsi="Arial" w:hint="default"/>
      </w:rPr>
    </w:lvl>
    <w:lvl w:ilvl="1" w:tplc="E8548646">
      <w:numFmt w:val="bullet"/>
      <w:lvlText w:val="–"/>
      <w:lvlJc w:val="left"/>
      <w:pPr>
        <w:tabs>
          <w:tab w:val="num" w:pos="1440"/>
        </w:tabs>
        <w:ind w:left="1440" w:hanging="360"/>
      </w:pPr>
      <w:rPr>
        <w:rFonts w:ascii="Ericsson Capital TT" w:hAnsi="Ericsson Capital TT" w:hint="default"/>
      </w:rPr>
    </w:lvl>
    <w:lvl w:ilvl="2" w:tplc="A7C483B4" w:tentative="1">
      <w:start w:val="1"/>
      <w:numFmt w:val="bullet"/>
      <w:lvlText w:val="›"/>
      <w:lvlJc w:val="left"/>
      <w:pPr>
        <w:tabs>
          <w:tab w:val="num" w:pos="2160"/>
        </w:tabs>
        <w:ind w:left="2160" w:hanging="360"/>
      </w:pPr>
      <w:rPr>
        <w:rFonts w:ascii="Arial" w:hAnsi="Arial" w:hint="default"/>
      </w:rPr>
    </w:lvl>
    <w:lvl w:ilvl="3" w:tplc="0B704C70" w:tentative="1">
      <w:start w:val="1"/>
      <w:numFmt w:val="bullet"/>
      <w:lvlText w:val="›"/>
      <w:lvlJc w:val="left"/>
      <w:pPr>
        <w:tabs>
          <w:tab w:val="num" w:pos="2880"/>
        </w:tabs>
        <w:ind w:left="2880" w:hanging="360"/>
      </w:pPr>
      <w:rPr>
        <w:rFonts w:ascii="Arial" w:hAnsi="Arial" w:hint="default"/>
      </w:rPr>
    </w:lvl>
    <w:lvl w:ilvl="4" w:tplc="F5AED81A" w:tentative="1">
      <w:start w:val="1"/>
      <w:numFmt w:val="bullet"/>
      <w:lvlText w:val="›"/>
      <w:lvlJc w:val="left"/>
      <w:pPr>
        <w:tabs>
          <w:tab w:val="num" w:pos="3600"/>
        </w:tabs>
        <w:ind w:left="3600" w:hanging="360"/>
      </w:pPr>
      <w:rPr>
        <w:rFonts w:ascii="Arial" w:hAnsi="Arial" w:hint="default"/>
      </w:rPr>
    </w:lvl>
    <w:lvl w:ilvl="5" w:tplc="EF1EDB92" w:tentative="1">
      <w:start w:val="1"/>
      <w:numFmt w:val="bullet"/>
      <w:lvlText w:val="›"/>
      <w:lvlJc w:val="left"/>
      <w:pPr>
        <w:tabs>
          <w:tab w:val="num" w:pos="4320"/>
        </w:tabs>
        <w:ind w:left="4320" w:hanging="360"/>
      </w:pPr>
      <w:rPr>
        <w:rFonts w:ascii="Arial" w:hAnsi="Arial" w:hint="default"/>
      </w:rPr>
    </w:lvl>
    <w:lvl w:ilvl="6" w:tplc="337442B6" w:tentative="1">
      <w:start w:val="1"/>
      <w:numFmt w:val="bullet"/>
      <w:lvlText w:val="›"/>
      <w:lvlJc w:val="left"/>
      <w:pPr>
        <w:tabs>
          <w:tab w:val="num" w:pos="5040"/>
        </w:tabs>
        <w:ind w:left="5040" w:hanging="360"/>
      </w:pPr>
      <w:rPr>
        <w:rFonts w:ascii="Arial" w:hAnsi="Arial" w:hint="default"/>
      </w:rPr>
    </w:lvl>
    <w:lvl w:ilvl="7" w:tplc="9D7E5764" w:tentative="1">
      <w:start w:val="1"/>
      <w:numFmt w:val="bullet"/>
      <w:lvlText w:val="›"/>
      <w:lvlJc w:val="left"/>
      <w:pPr>
        <w:tabs>
          <w:tab w:val="num" w:pos="5760"/>
        </w:tabs>
        <w:ind w:left="5760" w:hanging="360"/>
      </w:pPr>
      <w:rPr>
        <w:rFonts w:ascii="Arial" w:hAnsi="Arial" w:hint="default"/>
      </w:rPr>
    </w:lvl>
    <w:lvl w:ilvl="8" w:tplc="EEA4BB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A843AB"/>
    <w:multiLevelType w:val="hybridMultilevel"/>
    <w:tmpl w:val="2AD0BFEC"/>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7"/>
  </w:num>
  <w:num w:numId="17">
    <w:abstractNumId w:val="2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0"/>
  </w:num>
  <w:num w:numId="21">
    <w:abstractNumId w:val="26"/>
  </w:num>
  <w:num w:numId="22">
    <w:abstractNumId w:val="18"/>
  </w:num>
  <w:num w:numId="23">
    <w:abstractNumId w:val="29"/>
  </w:num>
  <w:num w:numId="24">
    <w:abstractNumId w:val="11"/>
  </w:num>
  <w:num w:numId="25">
    <w:abstractNumId w:val="24"/>
  </w:num>
  <w:num w:numId="26">
    <w:abstractNumId w:val="6"/>
  </w:num>
  <w:num w:numId="27">
    <w:abstractNumId w:val="5"/>
  </w:num>
  <w:num w:numId="28">
    <w:abstractNumId w:val="7"/>
  </w:num>
  <w:num w:numId="29">
    <w:abstractNumId w:val="30"/>
  </w:num>
  <w:num w:numId="30">
    <w:abstractNumId w:val="12"/>
  </w:num>
  <w:num w:numId="31">
    <w:abstractNumId w:val="15"/>
  </w:num>
  <w:num w:numId="32">
    <w:abstractNumId w:val="31"/>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39"/>
    <w:rsid w:val="00002A37"/>
    <w:rsid w:val="00006446"/>
    <w:rsid w:val="00006896"/>
    <w:rsid w:val="00007CDC"/>
    <w:rsid w:val="00011B28"/>
    <w:rsid w:val="00014AA4"/>
    <w:rsid w:val="00015D15"/>
    <w:rsid w:val="00025058"/>
    <w:rsid w:val="0002564D"/>
    <w:rsid w:val="00025ECA"/>
    <w:rsid w:val="00025FE3"/>
    <w:rsid w:val="000325B8"/>
    <w:rsid w:val="00032915"/>
    <w:rsid w:val="00034243"/>
    <w:rsid w:val="00034C15"/>
    <w:rsid w:val="00036BA1"/>
    <w:rsid w:val="000422E2"/>
    <w:rsid w:val="00042650"/>
    <w:rsid w:val="00042F22"/>
    <w:rsid w:val="000444EF"/>
    <w:rsid w:val="0004450B"/>
    <w:rsid w:val="00044537"/>
    <w:rsid w:val="00052A07"/>
    <w:rsid w:val="000534E3"/>
    <w:rsid w:val="0005606A"/>
    <w:rsid w:val="00057117"/>
    <w:rsid w:val="000616E7"/>
    <w:rsid w:val="00062CEE"/>
    <w:rsid w:val="0006487E"/>
    <w:rsid w:val="00065E1A"/>
    <w:rsid w:val="00077E5F"/>
    <w:rsid w:val="0008036A"/>
    <w:rsid w:val="00080C67"/>
    <w:rsid w:val="00081AE6"/>
    <w:rsid w:val="0008514A"/>
    <w:rsid w:val="000854BF"/>
    <w:rsid w:val="000855EB"/>
    <w:rsid w:val="00085B52"/>
    <w:rsid w:val="000866F2"/>
    <w:rsid w:val="0009009F"/>
    <w:rsid w:val="00091557"/>
    <w:rsid w:val="000924C1"/>
    <w:rsid w:val="000924F0"/>
    <w:rsid w:val="00093474"/>
    <w:rsid w:val="00093BF1"/>
    <w:rsid w:val="0009510F"/>
    <w:rsid w:val="000A1B7B"/>
    <w:rsid w:val="000A56F2"/>
    <w:rsid w:val="000B1744"/>
    <w:rsid w:val="000B2719"/>
    <w:rsid w:val="000B2C96"/>
    <w:rsid w:val="000B3A8F"/>
    <w:rsid w:val="000B4AB9"/>
    <w:rsid w:val="000B58C3"/>
    <w:rsid w:val="000B61E9"/>
    <w:rsid w:val="000B7DC1"/>
    <w:rsid w:val="000B7EB5"/>
    <w:rsid w:val="000C165A"/>
    <w:rsid w:val="000C2858"/>
    <w:rsid w:val="000C29F8"/>
    <w:rsid w:val="000C2E19"/>
    <w:rsid w:val="000D0D07"/>
    <w:rsid w:val="000D4797"/>
    <w:rsid w:val="000E0527"/>
    <w:rsid w:val="000E1E92"/>
    <w:rsid w:val="000E3C90"/>
    <w:rsid w:val="000E7CDD"/>
    <w:rsid w:val="000F06D6"/>
    <w:rsid w:val="000F0EB1"/>
    <w:rsid w:val="000F1106"/>
    <w:rsid w:val="000F3BE9"/>
    <w:rsid w:val="000F3F6C"/>
    <w:rsid w:val="000F6DF3"/>
    <w:rsid w:val="001005FF"/>
    <w:rsid w:val="00100653"/>
    <w:rsid w:val="001062FB"/>
    <w:rsid w:val="001063E6"/>
    <w:rsid w:val="00113CF4"/>
    <w:rsid w:val="0011413F"/>
    <w:rsid w:val="00114EE0"/>
    <w:rsid w:val="001153EA"/>
    <w:rsid w:val="00115643"/>
    <w:rsid w:val="00116765"/>
    <w:rsid w:val="001219F5"/>
    <w:rsid w:val="00121A20"/>
    <w:rsid w:val="001232C4"/>
    <w:rsid w:val="0012377F"/>
    <w:rsid w:val="00124314"/>
    <w:rsid w:val="00126B4A"/>
    <w:rsid w:val="00132FD0"/>
    <w:rsid w:val="001344C0"/>
    <w:rsid w:val="001346FA"/>
    <w:rsid w:val="00135252"/>
    <w:rsid w:val="00135A29"/>
    <w:rsid w:val="00137AB5"/>
    <w:rsid w:val="00137F0B"/>
    <w:rsid w:val="001410C8"/>
    <w:rsid w:val="001463B2"/>
    <w:rsid w:val="00151E23"/>
    <w:rsid w:val="001526E0"/>
    <w:rsid w:val="00152913"/>
    <w:rsid w:val="001551B5"/>
    <w:rsid w:val="00163A8C"/>
    <w:rsid w:val="001659C1"/>
    <w:rsid w:val="00166A79"/>
    <w:rsid w:val="00173792"/>
    <w:rsid w:val="00173A8E"/>
    <w:rsid w:val="00177795"/>
    <w:rsid w:val="0018143F"/>
    <w:rsid w:val="00181782"/>
    <w:rsid w:val="001857D0"/>
    <w:rsid w:val="00190AC1"/>
    <w:rsid w:val="001922DE"/>
    <w:rsid w:val="00192E52"/>
    <w:rsid w:val="00192F4B"/>
    <w:rsid w:val="0019341A"/>
    <w:rsid w:val="00195002"/>
    <w:rsid w:val="00197DF9"/>
    <w:rsid w:val="001A1987"/>
    <w:rsid w:val="001A2564"/>
    <w:rsid w:val="001A2F60"/>
    <w:rsid w:val="001A6173"/>
    <w:rsid w:val="001A6CBA"/>
    <w:rsid w:val="001B0D97"/>
    <w:rsid w:val="001B5A5D"/>
    <w:rsid w:val="001C1CE5"/>
    <w:rsid w:val="001C3D2A"/>
    <w:rsid w:val="001D51BA"/>
    <w:rsid w:val="001D6342"/>
    <w:rsid w:val="001D6D53"/>
    <w:rsid w:val="001E449E"/>
    <w:rsid w:val="001E5574"/>
    <w:rsid w:val="001E58E2"/>
    <w:rsid w:val="001E7AED"/>
    <w:rsid w:val="001F3916"/>
    <w:rsid w:val="001F444E"/>
    <w:rsid w:val="001F54C5"/>
    <w:rsid w:val="001F662C"/>
    <w:rsid w:val="001F7074"/>
    <w:rsid w:val="001F7F9F"/>
    <w:rsid w:val="00200490"/>
    <w:rsid w:val="00201F3A"/>
    <w:rsid w:val="00203F96"/>
    <w:rsid w:val="002069B2"/>
    <w:rsid w:val="00207BE5"/>
    <w:rsid w:val="00207FA3"/>
    <w:rsid w:val="00213A6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535"/>
    <w:rsid w:val="002549D5"/>
    <w:rsid w:val="00257543"/>
    <w:rsid w:val="002601C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648"/>
    <w:rsid w:val="00292EB7"/>
    <w:rsid w:val="00296227"/>
    <w:rsid w:val="002962B1"/>
    <w:rsid w:val="00296F44"/>
    <w:rsid w:val="0029777D"/>
    <w:rsid w:val="002A055E"/>
    <w:rsid w:val="002A1D4E"/>
    <w:rsid w:val="002A2869"/>
    <w:rsid w:val="002A3D16"/>
    <w:rsid w:val="002A6960"/>
    <w:rsid w:val="002B09DF"/>
    <w:rsid w:val="002B24D6"/>
    <w:rsid w:val="002C3715"/>
    <w:rsid w:val="002C41E6"/>
    <w:rsid w:val="002C7721"/>
    <w:rsid w:val="002D071A"/>
    <w:rsid w:val="002D0BAF"/>
    <w:rsid w:val="002D2619"/>
    <w:rsid w:val="002D34B2"/>
    <w:rsid w:val="002D42DA"/>
    <w:rsid w:val="002D469F"/>
    <w:rsid w:val="002D7637"/>
    <w:rsid w:val="002E17F2"/>
    <w:rsid w:val="002E7CAE"/>
    <w:rsid w:val="002F2771"/>
    <w:rsid w:val="002F37A9"/>
    <w:rsid w:val="00301CE6"/>
    <w:rsid w:val="0030256B"/>
    <w:rsid w:val="0030501F"/>
    <w:rsid w:val="00306640"/>
    <w:rsid w:val="00307BA1"/>
    <w:rsid w:val="00311702"/>
    <w:rsid w:val="00311E82"/>
    <w:rsid w:val="00313FD6"/>
    <w:rsid w:val="003143BD"/>
    <w:rsid w:val="00314D8D"/>
    <w:rsid w:val="003203ED"/>
    <w:rsid w:val="00320633"/>
    <w:rsid w:val="00322C9F"/>
    <w:rsid w:val="0032326B"/>
    <w:rsid w:val="00323679"/>
    <w:rsid w:val="00324D23"/>
    <w:rsid w:val="0032654C"/>
    <w:rsid w:val="00331751"/>
    <w:rsid w:val="00334579"/>
    <w:rsid w:val="00335858"/>
    <w:rsid w:val="00335FD9"/>
    <w:rsid w:val="00336BDA"/>
    <w:rsid w:val="00337487"/>
    <w:rsid w:val="00342BD7"/>
    <w:rsid w:val="003438B6"/>
    <w:rsid w:val="00343A07"/>
    <w:rsid w:val="00346DB5"/>
    <w:rsid w:val="003477B1"/>
    <w:rsid w:val="0035487F"/>
    <w:rsid w:val="00354DB8"/>
    <w:rsid w:val="003556BD"/>
    <w:rsid w:val="003559DF"/>
    <w:rsid w:val="00357380"/>
    <w:rsid w:val="003602D9"/>
    <w:rsid w:val="003604CE"/>
    <w:rsid w:val="00370E47"/>
    <w:rsid w:val="003742AC"/>
    <w:rsid w:val="00374DA0"/>
    <w:rsid w:val="00377CE1"/>
    <w:rsid w:val="00380C5F"/>
    <w:rsid w:val="00385BF0"/>
    <w:rsid w:val="003939FF"/>
    <w:rsid w:val="00394E0B"/>
    <w:rsid w:val="00395524"/>
    <w:rsid w:val="00397542"/>
    <w:rsid w:val="003A1650"/>
    <w:rsid w:val="003A2223"/>
    <w:rsid w:val="003A2A0F"/>
    <w:rsid w:val="003A45A1"/>
    <w:rsid w:val="003A4DCB"/>
    <w:rsid w:val="003A5B0A"/>
    <w:rsid w:val="003A6BAC"/>
    <w:rsid w:val="003A7EF3"/>
    <w:rsid w:val="003B159C"/>
    <w:rsid w:val="003B1BAF"/>
    <w:rsid w:val="003B1F4C"/>
    <w:rsid w:val="003B369F"/>
    <w:rsid w:val="003B36A3"/>
    <w:rsid w:val="003B49B5"/>
    <w:rsid w:val="003B7FE5"/>
    <w:rsid w:val="003C11C8"/>
    <w:rsid w:val="003C2702"/>
    <w:rsid w:val="003C5241"/>
    <w:rsid w:val="003C5FE6"/>
    <w:rsid w:val="003C6BAA"/>
    <w:rsid w:val="003C7806"/>
    <w:rsid w:val="003D109F"/>
    <w:rsid w:val="003D2478"/>
    <w:rsid w:val="003D3C45"/>
    <w:rsid w:val="003D5B1F"/>
    <w:rsid w:val="003D613B"/>
    <w:rsid w:val="003E15FA"/>
    <w:rsid w:val="003E364A"/>
    <w:rsid w:val="003E55E4"/>
    <w:rsid w:val="003E74E3"/>
    <w:rsid w:val="003F0559"/>
    <w:rsid w:val="003F05C7"/>
    <w:rsid w:val="003F132A"/>
    <w:rsid w:val="003F2CD4"/>
    <w:rsid w:val="003F6BBE"/>
    <w:rsid w:val="004000E8"/>
    <w:rsid w:val="00402E2B"/>
    <w:rsid w:val="00403DD0"/>
    <w:rsid w:val="00404CCA"/>
    <w:rsid w:val="0040512B"/>
    <w:rsid w:val="00405CA5"/>
    <w:rsid w:val="00407CD3"/>
    <w:rsid w:val="00410134"/>
    <w:rsid w:val="00410B72"/>
    <w:rsid w:val="00410F18"/>
    <w:rsid w:val="0041263E"/>
    <w:rsid w:val="00413AAC"/>
    <w:rsid w:val="00414FD5"/>
    <w:rsid w:val="00421105"/>
    <w:rsid w:val="004242F4"/>
    <w:rsid w:val="00426672"/>
    <w:rsid w:val="00427248"/>
    <w:rsid w:val="00433E5B"/>
    <w:rsid w:val="00437447"/>
    <w:rsid w:val="00441A92"/>
    <w:rsid w:val="00444F56"/>
    <w:rsid w:val="00446488"/>
    <w:rsid w:val="004472BC"/>
    <w:rsid w:val="00450C0C"/>
    <w:rsid w:val="004517AA"/>
    <w:rsid w:val="00452CAC"/>
    <w:rsid w:val="00457565"/>
    <w:rsid w:val="00457989"/>
    <w:rsid w:val="00457B71"/>
    <w:rsid w:val="00464D58"/>
    <w:rsid w:val="004669E2"/>
    <w:rsid w:val="00470C31"/>
    <w:rsid w:val="00471FDA"/>
    <w:rsid w:val="004734D0"/>
    <w:rsid w:val="0047556B"/>
    <w:rsid w:val="00477768"/>
    <w:rsid w:val="00487716"/>
    <w:rsid w:val="00487B4A"/>
    <w:rsid w:val="00492BC5"/>
    <w:rsid w:val="00493AD9"/>
    <w:rsid w:val="004964F1"/>
    <w:rsid w:val="004A16BC"/>
    <w:rsid w:val="004A2136"/>
    <w:rsid w:val="004A2B94"/>
    <w:rsid w:val="004B08CD"/>
    <w:rsid w:val="004B7C0C"/>
    <w:rsid w:val="004C0504"/>
    <w:rsid w:val="004C3898"/>
    <w:rsid w:val="004C4697"/>
    <w:rsid w:val="004D1ACE"/>
    <w:rsid w:val="004D1F6B"/>
    <w:rsid w:val="004D36B1"/>
    <w:rsid w:val="004D3DD6"/>
    <w:rsid w:val="004D509B"/>
    <w:rsid w:val="004D7EBD"/>
    <w:rsid w:val="004E2680"/>
    <w:rsid w:val="004E28F9"/>
    <w:rsid w:val="004E462E"/>
    <w:rsid w:val="004E56DC"/>
    <w:rsid w:val="004E66E6"/>
    <w:rsid w:val="004E76F4"/>
    <w:rsid w:val="004F0B4E"/>
    <w:rsid w:val="004F0B6C"/>
    <w:rsid w:val="004F2078"/>
    <w:rsid w:val="004F307E"/>
    <w:rsid w:val="004F37B4"/>
    <w:rsid w:val="004F4DA3"/>
    <w:rsid w:val="004F7898"/>
    <w:rsid w:val="00506557"/>
    <w:rsid w:val="0050677A"/>
    <w:rsid w:val="00507A10"/>
    <w:rsid w:val="00510012"/>
    <w:rsid w:val="005108D8"/>
    <w:rsid w:val="005116F9"/>
    <w:rsid w:val="005125E6"/>
    <w:rsid w:val="00513DD1"/>
    <w:rsid w:val="005153A7"/>
    <w:rsid w:val="0052087A"/>
    <w:rsid w:val="005209BE"/>
    <w:rsid w:val="005219CF"/>
    <w:rsid w:val="005332AE"/>
    <w:rsid w:val="00534B59"/>
    <w:rsid w:val="005365E4"/>
    <w:rsid w:val="00536759"/>
    <w:rsid w:val="00537C62"/>
    <w:rsid w:val="00546970"/>
    <w:rsid w:val="00546F58"/>
    <w:rsid w:val="00550FDE"/>
    <w:rsid w:val="00554E19"/>
    <w:rsid w:val="00556058"/>
    <w:rsid w:val="005607AE"/>
    <w:rsid w:val="0056121F"/>
    <w:rsid w:val="0056131A"/>
    <w:rsid w:val="00566BF7"/>
    <w:rsid w:val="00572130"/>
    <w:rsid w:val="00572505"/>
    <w:rsid w:val="005811FF"/>
    <w:rsid w:val="00582809"/>
    <w:rsid w:val="00582B5D"/>
    <w:rsid w:val="00584810"/>
    <w:rsid w:val="00586A06"/>
    <w:rsid w:val="0058783C"/>
    <w:rsid w:val="0058798C"/>
    <w:rsid w:val="005900FA"/>
    <w:rsid w:val="00592F3E"/>
    <w:rsid w:val="005935A4"/>
    <w:rsid w:val="005948C2"/>
    <w:rsid w:val="00594E11"/>
    <w:rsid w:val="00595DCA"/>
    <w:rsid w:val="00596FD3"/>
    <w:rsid w:val="0059779B"/>
    <w:rsid w:val="00597A87"/>
    <w:rsid w:val="005A0E33"/>
    <w:rsid w:val="005A209A"/>
    <w:rsid w:val="005A2D40"/>
    <w:rsid w:val="005A2F21"/>
    <w:rsid w:val="005A662D"/>
    <w:rsid w:val="005B35D7"/>
    <w:rsid w:val="005B392A"/>
    <w:rsid w:val="005B3AA3"/>
    <w:rsid w:val="005B440B"/>
    <w:rsid w:val="005B6F83"/>
    <w:rsid w:val="005C072C"/>
    <w:rsid w:val="005C74FB"/>
    <w:rsid w:val="005D1602"/>
    <w:rsid w:val="005D54C3"/>
    <w:rsid w:val="005D6272"/>
    <w:rsid w:val="005D62D1"/>
    <w:rsid w:val="005E385F"/>
    <w:rsid w:val="005E5B81"/>
    <w:rsid w:val="005E696B"/>
    <w:rsid w:val="005E6DDF"/>
    <w:rsid w:val="005F27F5"/>
    <w:rsid w:val="005F2CB1"/>
    <w:rsid w:val="005F3025"/>
    <w:rsid w:val="005F5A9E"/>
    <w:rsid w:val="005F618C"/>
    <w:rsid w:val="005F70BD"/>
    <w:rsid w:val="0060283C"/>
    <w:rsid w:val="00604F14"/>
    <w:rsid w:val="006118F0"/>
    <w:rsid w:val="00611B83"/>
    <w:rsid w:val="00613257"/>
    <w:rsid w:val="00614B9C"/>
    <w:rsid w:val="006155A4"/>
    <w:rsid w:val="00620A71"/>
    <w:rsid w:val="00620D80"/>
    <w:rsid w:val="00622F78"/>
    <w:rsid w:val="006234A6"/>
    <w:rsid w:val="00630001"/>
    <w:rsid w:val="0063096F"/>
    <w:rsid w:val="006311B3"/>
    <w:rsid w:val="0063284C"/>
    <w:rsid w:val="00636398"/>
    <w:rsid w:val="006368D3"/>
    <w:rsid w:val="006377EC"/>
    <w:rsid w:val="0064151F"/>
    <w:rsid w:val="00641533"/>
    <w:rsid w:val="0064208D"/>
    <w:rsid w:val="00643475"/>
    <w:rsid w:val="0064396A"/>
    <w:rsid w:val="00643DBE"/>
    <w:rsid w:val="006457EC"/>
    <w:rsid w:val="0064624E"/>
    <w:rsid w:val="00650AB9"/>
    <w:rsid w:val="00655733"/>
    <w:rsid w:val="00655ACD"/>
    <w:rsid w:val="00656A92"/>
    <w:rsid w:val="00656DDE"/>
    <w:rsid w:val="0066011D"/>
    <w:rsid w:val="00660351"/>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315"/>
    <w:rsid w:val="006918A5"/>
    <w:rsid w:val="00695FC2"/>
    <w:rsid w:val="00696949"/>
    <w:rsid w:val="00697052"/>
    <w:rsid w:val="006977AB"/>
    <w:rsid w:val="006A1433"/>
    <w:rsid w:val="006A46FB"/>
    <w:rsid w:val="006A5E28"/>
    <w:rsid w:val="006A67CD"/>
    <w:rsid w:val="006A697B"/>
    <w:rsid w:val="006A7AFF"/>
    <w:rsid w:val="006B098B"/>
    <w:rsid w:val="006B1816"/>
    <w:rsid w:val="006B2099"/>
    <w:rsid w:val="006B50CF"/>
    <w:rsid w:val="006C03B8"/>
    <w:rsid w:val="006C5EC9"/>
    <w:rsid w:val="006C6059"/>
    <w:rsid w:val="006C7522"/>
    <w:rsid w:val="006D0658"/>
    <w:rsid w:val="006D0E85"/>
    <w:rsid w:val="006D6F08"/>
    <w:rsid w:val="006E062C"/>
    <w:rsid w:val="006E28B7"/>
    <w:rsid w:val="006E3310"/>
    <w:rsid w:val="006E3EAC"/>
    <w:rsid w:val="006E4E39"/>
    <w:rsid w:val="006E565E"/>
    <w:rsid w:val="006E673D"/>
    <w:rsid w:val="006E7D3B"/>
    <w:rsid w:val="006F1B70"/>
    <w:rsid w:val="006F341D"/>
    <w:rsid w:val="006F3CDE"/>
    <w:rsid w:val="006F4F7F"/>
    <w:rsid w:val="006F58D4"/>
    <w:rsid w:val="006F77E3"/>
    <w:rsid w:val="007021ED"/>
    <w:rsid w:val="0070346E"/>
    <w:rsid w:val="00704EDB"/>
    <w:rsid w:val="00706101"/>
    <w:rsid w:val="00707072"/>
    <w:rsid w:val="00707D61"/>
    <w:rsid w:val="007105D5"/>
    <w:rsid w:val="00711EF1"/>
    <w:rsid w:val="00712287"/>
    <w:rsid w:val="00712772"/>
    <w:rsid w:val="007148D3"/>
    <w:rsid w:val="00715B9A"/>
    <w:rsid w:val="00726EA6"/>
    <w:rsid w:val="00727208"/>
    <w:rsid w:val="00727680"/>
    <w:rsid w:val="007348B1"/>
    <w:rsid w:val="007362A6"/>
    <w:rsid w:val="00736D7D"/>
    <w:rsid w:val="00740E58"/>
    <w:rsid w:val="007445A0"/>
    <w:rsid w:val="00744BF8"/>
    <w:rsid w:val="00744BFC"/>
    <w:rsid w:val="0074524B"/>
    <w:rsid w:val="00747D8B"/>
    <w:rsid w:val="00751228"/>
    <w:rsid w:val="00751A7D"/>
    <w:rsid w:val="007571E1"/>
    <w:rsid w:val="00757479"/>
    <w:rsid w:val="007604B2"/>
    <w:rsid w:val="00765281"/>
    <w:rsid w:val="0076565C"/>
    <w:rsid w:val="00766BAD"/>
    <w:rsid w:val="00771CFC"/>
    <w:rsid w:val="007721F8"/>
    <w:rsid w:val="007730BD"/>
    <w:rsid w:val="007755F2"/>
    <w:rsid w:val="00776971"/>
    <w:rsid w:val="007772B0"/>
    <w:rsid w:val="00780429"/>
    <w:rsid w:val="0078177E"/>
    <w:rsid w:val="0078304C"/>
    <w:rsid w:val="00783673"/>
    <w:rsid w:val="00785490"/>
    <w:rsid w:val="0079056E"/>
    <w:rsid w:val="007925EA"/>
    <w:rsid w:val="00793CD8"/>
    <w:rsid w:val="00793D31"/>
    <w:rsid w:val="00795C92"/>
    <w:rsid w:val="00796231"/>
    <w:rsid w:val="007A1CB3"/>
    <w:rsid w:val="007A306F"/>
    <w:rsid w:val="007A43A6"/>
    <w:rsid w:val="007A4E16"/>
    <w:rsid w:val="007A5158"/>
    <w:rsid w:val="007A58A6"/>
    <w:rsid w:val="007B2D9B"/>
    <w:rsid w:val="007B3D2D"/>
    <w:rsid w:val="007B50AE"/>
    <w:rsid w:val="007B51DF"/>
    <w:rsid w:val="007C05DD"/>
    <w:rsid w:val="007C0D56"/>
    <w:rsid w:val="007C21B1"/>
    <w:rsid w:val="007C3D18"/>
    <w:rsid w:val="007C60BF"/>
    <w:rsid w:val="007C6A07"/>
    <w:rsid w:val="007C75A1"/>
    <w:rsid w:val="007C77A5"/>
    <w:rsid w:val="007D04E5"/>
    <w:rsid w:val="007D1F07"/>
    <w:rsid w:val="007D2B62"/>
    <w:rsid w:val="007D5901"/>
    <w:rsid w:val="007D7526"/>
    <w:rsid w:val="007E4610"/>
    <w:rsid w:val="007E4715"/>
    <w:rsid w:val="007E505B"/>
    <w:rsid w:val="007E580B"/>
    <w:rsid w:val="007E7091"/>
    <w:rsid w:val="007E7379"/>
    <w:rsid w:val="007F2B2F"/>
    <w:rsid w:val="007F31F0"/>
    <w:rsid w:val="00803FAE"/>
    <w:rsid w:val="0080605F"/>
    <w:rsid w:val="00807786"/>
    <w:rsid w:val="00811FCB"/>
    <w:rsid w:val="00812821"/>
    <w:rsid w:val="008158D6"/>
    <w:rsid w:val="00816672"/>
    <w:rsid w:val="00817196"/>
    <w:rsid w:val="00817C95"/>
    <w:rsid w:val="008235DB"/>
    <w:rsid w:val="00824AB4"/>
    <w:rsid w:val="00825C42"/>
    <w:rsid w:val="00825D25"/>
    <w:rsid w:val="00826644"/>
    <w:rsid w:val="00827D6F"/>
    <w:rsid w:val="0083312E"/>
    <w:rsid w:val="008376AC"/>
    <w:rsid w:val="008444E8"/>
    <w:rsid w:val="00844E80"/>
    <w:rsid w:val="00846FE7"/>
    <w:rsid w:val="00851B18"/>
    <w:rsid w:val="0085302A"/>
    <w:rsid w:val="0085461F"/>
    <w:rsid w:val="00856911"/>
    <w:rsid w:val="00860D18"/>
    <w:rsid w:val="008677FD"/>
    <w:rsid w:val="008706D4"/>
    <w:rsid w:val="00870F8A"/>
    <w:rsid w:val="008719A4"/>
    <w:rsid w:val="00871D23"/>
    <w:rsid w:val="00873DD5"/>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5B9B"/>
    <w:rsid w:val="008A630B"/>
    <w:rsid w:val="008A77D8"/>
    <w:rsid w:val="008B0483"/>
    <w:rsid w:val="008B120C"/>
    <w:rsid w:val="008B51A0"/>
    <w:rsid w:val="008B592A"/>
    <w:rsid w:val="008B7B5C"/>
    <w:rsid w:val="008C0C99"/>
    <w:rsid w:val="008C12DF"/>
    <w:rsid w:val="008C2017"/>
    <w:rsid w:val="008C4483"/>
    <w:rsid w:val="008C4958"/>
    <w:rsid w:val="008C4BAA"/>
    <w:rsid w:val="008C6AE8"/>
    <w:rsid w:val="008C7573"/>
    <w:rsid w:val="008D20E6"/>
    <w:rsid w:val="008D24C7"/>
    <w:rsid w:val="008D34F1"/>
    <w:rsid w:val="008D39D8"/>
    <w:rsid w:val="008D6D1A"/>
    <w:rsid w:val="008D7D94"/>
    <w:rsid w:val="008E065E"/>
    <w:rsid w:val="008E0927"/>
    <w:rsid w:val="008E1909"/>
    <w:rsid w:val="008E27B8"/>
    <w:rsid w:val="008F0B41"/>
    <w:rsid w:val="008F1EAB"/>
    <w:rsid w:val="008F33DC"/>
    <w:rsid w:val="008F477F"/>
    <w:rsid w:val="00902350"/>
    <w:rsid w:val="00902A5C"/>
    <w:rsid w:val="0090336B"/>
    <w:rsid w:val="009053AA"/>
    <w:rsid w:val="00906939"/>
    <w:rsid w:val="00910B7D"/>
    <w:rsid w:val="00911DFB"/>
    <w:rsid w:val="009139D9"/>
    <w:rsid w:val="00914AD8"/>
    <w:rsid w:val="00916079"/>
    <w:rsid w:val="00917CE9"/>
    <w:rsid w:val="00920BF2"/>
    <w:rsid w:val="00922010"/>
    <w:rsid w:val="00922AC4"/>
    <w:rsid w:val="00931BD9"/>
    <w:rsid w:val="009368F3"/>
    <w:rsid w:val="00941636"/>
    <w:rsid w:val="00943742"/>
    <w:rsid w:val="00945C05"/>
    <w:rsid w:val="00946945"/>
    <w:rsid w:val="00947713"/>
    <w:rsid w:val="00950DE7"/>
    <w:rsid w:val="00953920"/>
    <w:rsid w:val="00953D47"/>
    <w:rsid w:val="009566F0"/>
    <w:rsid w:val="0095681E"/>
    <w:rsid w:val="009572D4"/>
    <w:rsid w:val="0096013E"/>
    <w:rsid w:val="00961921"/>
    <w:rsid w:val="0096430A"/>
    <w:rsid w:val="0096554B"/>
    <w:rsid w:val="0096584A"/>
    <w:rsid w:val="00966858"/>
    <w:rsid w:val="00971F08"/>
    <w:rsid w:val="0097603D"/>
    <w:rsid w:val="00976949"/>
    <w:rsid w:val="00980477"/>
    <w:rsid w:val="00983F9C"/>
    <w:rsid w:val="00984315"/>
    <w:rsid w:val="00984FDE"/>
    <w:rsid w:val="00985253"/>
    <w:rsid w:val="009853B3"/>
    <w:rsid w:val="009855A7"/>
    <w:rsid w:val="00990630"/>
    <w:rsid w:val="0099140F"/>
    <w:rsid w:val="00991761"/>
    <w:rsid w:val="00994DCA"/>
    <w:rsid w:val="009960EC"/>
    <w:rsid w:val="00996AB7"/>
    <w:rsid w:val="009970DD"/>
    <w:rsid w:val="009A0FBA"/>
    <w:rsid w:val="009A11BD"/>
    <w:rsid w:val="009A1601"/>
    <w:rsid w:val="009A43EA"/>
    <w:rsid w:val="009A462D"/>
    <w:rsid w:val="009A5BB7"/>
    <w:rsid w:val="009A5CBA"/>
    <w:rsid w:val="009B0924"/>
    <w:rsid w:val="009B1F30"/>
    <w:rsid w:val="009B3AC2"/>
    <w:rsid w:val="009B462F"/>
    <w:rsid w:val="009B4DF4"/>
    <w:rsid w:val="009B564E"/>
    <w:rsid w:val="009B7E87"/>
    <w:rsid w:val="009C10E3"/>
    <w:rsid w:val="009C403E"/>
    <w:rsid w:val="009C47D7"/>
    <w:rsid w:val="009C6878"/>
    <w:rsid w:val="009D4FF0"/>
    <w:rsid w:val="009D703C"/>
    <w:rsid w:val="009D718F"/>
    <w:rsid w:val="009E068F"/>
    <w:rsid w:val="009E14E0"/>
    <w:rsid w:val="009E35DB"/>
    <w:rsid w:val="009E47A3"/>
    <w:rsid w:val="009F08F3"/>
    <w:rsid w:val="009F344F"/>
    <w:rsid w:val="009F5AD9"/>
    <w:rsid w:val="009F600A"/>
    <w:rsid w:val="00A01783"/>
    <w:rsid w:val="00A01B37"/>
    <w:rsid w:val="00A0393A"/>
    <w:rsid w:val="00A048A8"/>
    <w:rsid w:val="00A04F49"/>
    <w:rsid w:val="00A050A5"/>
    <w:rsid w:val="00A07D01"/>
    <w:rsid w:val="00A10A95"/>
    <w:rsid w:val="00A13E54"/>
    <w:rsid w:val="00A17BD3"/>
    <w:rsid w:val="00A17F63"/>
    <w:rsid w:val="00A2193B"/>
    <w:rsid w:val="00A2351A"/>
    <w:rsid w:val="00A264A9"/>
    <w:rsid w:val="00A27785"/>
    <w:rsid w:val="00A30187"/>
    <w:rsid w:val="00A308A3"/>
    <w:rsid w:val="00A30FA7"/>
    <w:rsid w:val="00A3448A"/>
    <w:rsid w:val="00A36297"/>
    <w:rsid w:val="00A405CD"/>
    <w:rsid w:val="00A41E2B"/>
    <w:rsid w:val="00A45B74"/>
    <w:rsid w:val="00A5059A"/>
    <w:rsid w:val="00A52E1D"/>
    <w:rsid w:val="00A54E89"/>
    <w:rsid w:val="00A61499"/>
    <w:rsid w:val="00A628E4"/>
    <w:rsid w:val="00A62A77"/>
    <w:rsid w:val="00A63483"/>
    <w:rsid w:val="00A657D7"/>
    <w:rsid w:val="00A660AC"/>
    <w:rsid w:val="00A6794F"/>
    <w:rsid w:val="00A67E6C"/>
    <w:rsid w:val="00A70CF4"/>
    <w:rsid w:val="00A70E06"/>
    <w:rsid w:val="00A71B99"/>
    <w:rsid w:val="00A739D0"/>
    <w:rsid w:val="00A761D4"/>
    <w:rsid w:val="00A77EC4"/>
    <w:rsid w:val="00A83302"/>
    <w:rsid w:val="00A84655"/>
    <w:rsid w:val="00A90CB9"/>
    <w:rsid w:val="00A92879"/>
    <w:rsid w:val="00A9442A"/>
    <w:rsid w:val="00A975B8"/>
    <w:rsid w:val="00AA016F"/>
    <w:rsid w:val="00AA1ED6"/>
    <w:rsid w:val="00AA51D6"/>
    <w:rsid w:val="00AA734A"/>
    <w:rsid w:val="00AB0BC8"/>
    <w:rsid w:val="00AB11CA"/>
    <w:rsid w:val="00AB14D9"/>
    <w:rsid w:val="00AB2AF2"/>
    <w:rsid w:val="00AB4AB8"/>
    <w:rsid w:val="00AB5210"/>
    <w:rsid w:val="00AB5EC2"/>
    <w:rsid w:val="00AB655E"/>
    <w:rsid w:val="00AC007F"/>
    <w:rsid w:val="00AC2ECD"/>
    <w:rsid w:val="00AC3119"/>
    <w:rsid w:val="00AC49FB"/>
    <w:rsid w:val="00AC5A10"/>
    <w:rsid w:val="00AC6762"/>
    <w:rsid w:val="00AD0AA3"/>
    <w:rsid w:val="00AD2AFA"/>
    <w:rsid w:val="00AD3F94"/>
    <w:rsid w:val="00AD4A5A"/>
    <w:rsid w:val="00AD5827"/>
    <w:rsid w:val="00AD61B9"/>
    <w:rsid w:val="00AE27AC"/>
    <w:rsid w:val="00AE2D40"/>
    <w:rsid w:val="00AE40E0"/>
    <w:rsid w:val="00AE4DBA"/>
    <w:rsid w:val="00AE4F07"/>
    <w:rsid w:val="00AE6AA9"/>
    <w:rsid w:val="00AF1C5D"/>
    <w:rsid w:val="00AF42D7"/>
    <w:rsid w:val="00B006FE"/>
    <w:rsid w:val="00B007CB"/>
    <w:rsid w:val="00B02AA9"/>
    <w:rsid w:val="00B02FA3"/>
    <w:rsid w:val="00B05084"/>
    <w:rsid w:val="00B07EE3"/>
    <w:rsid w:val="00B13BF1"/>
    <w:rsid w:val="00B157F9"/>
    <w:rsid w:val="00B20256"/>
    <w:rsid w:val="00B20D09"/>
    <w:rsid w:val="00B2763F"/>
    <w:rsid w:val="00B27AAC"/>
    <w:rsid w:val="00B301BC"/>
    <w:rsid w:val="00B30929"/>
    <w:rsid w:val="00B3413B"/>
    <w:rsid w:val="00B35DF2"/>
    <w:rsid w:val="00B372AA"/>
    <w:rsid w:val="00B40445"/>
    <w:rsid w:val="00B410DD"/>
    <w:rsid w:val="00B41888"/>
    <w:rsid w:val="00B459A4"/>
    <w:rsid w:val="00B45A52"/>
    <w:rsid w:val="00B46175"/>
    <w:rsid w:val="00B467C4"/>
    <w:rsid w:val="00B509B4"/>
    <w:rsid w:val="00B527D0"/>
    <w:rsid w:val="00B55FA7"/>
    <w:rsid w:val="00B56460"/>
    <w:rsid w:val="00B6188F"/>
    <w:rsid w:val="00B62EBF"/>
    <w:rsid w:val="00B651D0"/>
    <w:rsid w:val="00B664C7"/>
    <w:rsid w:val="00B739F6"/>
    <w:rsid w:val="00B76CD8"/>
    <w:rsid w:val="00B811F5"/>
    <w:rsid w:val="00B81A6C"/>
    <w:rsid w:val="00B824AC"/>
    <w:rsid w:val="00B84860"/>
    <w:rsid w:val="00B84E17"/>
    <w:rsid w:val="00B85DE5"/>
    <w:rsid w:val="00B86558"/>
    <w:rsid w:val="00B90F73"/>
    <w:rsid w:val="00B919D3"/>
    <w:rsid w:val="00B91E63"/>
    <w:rsid w:val="00B93B59"/>
    <w:rsid w:val="00B9406A"/>
    <w:rsid w:val="00BA2280"/>
    <w:rsid w:val="00BA2A08"/>
    <w:rsid w:val="00BA56D2"/>
    <w:rsid w:val="00BA76E0"/>
    <w:rsid w:val="00BB1869"/>
    <w:rsid w:val="00BB1A5A"/>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648D"/>
    <w:rsid w:val="00BF73E1"/>
    <w:rsid w:val="00BF74C7"/>
    <w:rsid w:val="00BF78F9"/>
    <w:rsid w:val="00C0039F"/>
    <w:rsid w:val="00C015F1"/>
    <w:rsid w:val="00C01F33"/>
    <w:rsid w:val="00C02CC6"/>
    <w:rsid w:val="00C040F7"/>
    <w:rsid w:val="00C041B0"/>
    <w:rsid w:val="00C044AB"/>
    <w:rsid w:val="00C04AD2"/>
    <w:rsid w:val="00C05706"/>
    <w:rsid w:val="00C066BA"/>
    <w:rsid w:val="00C07377"/>
    <w:rsid w:val="00C10478"/>
    <w:rsid w:val="00C1133F"/>
    <w:rsid w:val="00C12107"/>
    <w:rsid w:val="00C1403E"/>
    <w:rsid w:val="00C14349"/>
    <w:rsid w:val="00C14D4B"/>
    <w:rsid w:val="00C154BB"/>
    <w:rsid w:val="00C20E9B"/>
    <w:rsid w:val="00C21D9C"/>
    <w:rsid w:val="00C25131"/>
    <w:rsid w:val="00C25DFF"/>
    <w:rsid w:val="00C279B5"/>
    <w:rsid w:val="00C27B14"/>
    <w:rsid w:val="00C27C45"/>
    <w:rsid w:val="00C3282C"/>
    <w:rsid w:val="00C3719D"/>
    <w:rsid w:val="00C41972"/>
    <w:rsid w:val="00C45349"/>
    <w:rsid w:val="00C51442"/>
    <w:rsid w:val="00C54995"/>
    <w:rsid w:val="00C54D41"/>
    <w:rsid w:val="00C60783"/>
    <w:rsid w:val="00C64672"/>
    <w:rsid w:val="00C65F3F"/>
    <w:rsid w:val="00C70697"/>
    <w:rsid w:val="00C72EF4"/>
    <w:rsid w:val="00C75D2F"/>
    <w:rsid w:val="00C767BE"/>
    <w:rsid w:val="00C76E3C"/>
    <w:rsid w:val="00C81568"/>
    <w:rsid w:val="00C82B24"/>
    <w:rsid w:val="00C851A3"/>
    <w:rsid w:val="00C9027A"/>
    <w:rsid w:val="00C902B7"/>
    <w:rsid w:val="00C9068E"/>
    <w:rsid w:val="00C909A4"/>
    <w:rsid w:val="00C925CB"/>
    <w:rsid w:val="00C92E39"/>
    <w:rsid w:val="00C93C4B"/>
    <w:rsid w:val="00C944AB"/>
    <w:rsid w:val="00C95638"/>
    <w:rsid w:val="00C95B40"/>
    <w:rsid w:val="00CA1ED8"/>
    <w:rsid w:val="00CB1F63"/>
    <w:rsid w:val="00CB7170"/>
    <w:rsid w:val="00CC040E"/>
    <w:rsid w:val="00CC09F7"/>
    <w:rsid w:val="00CC111F"/>
    <w:rsid w:val="00CC2011"/>
    <w:rsid w:val="00CC23AC"/>
    <w:rsid w:val="00CC34C3"/>
    <w:rsid w:val="00CC3EA0"/>
    <w:rsid w:val="00CC7B45"/>
    <w:rsid w:val="00CD1188"/>
    <w:rsid w:val="00CD2831"/>
    <w:rsid w:val="00CD2ED1"/>
    <w:rsid w:val="00CD337B"/>
    <w:rsid w:val="00CE0424"/>
    <w:rsid w:val="00CE0F2D"/>
    <w:rsid w:val="00CE638E"/>
    <w:rsid w:val="00CE7561"/>
    <w:rsid w:val="00CF08A9"/>
    <w:rsid w:val="00CF0EBA"/>
    <w:rsid w:val="00CF1354"/>
    <w:rsid w:val="00CF3B1F"/>
    <w:rsid w:val="00CF3BF6"/>
    <w:rsid w:val="00CF625B"/>
    <w:rsid w:val="00CF687E"/>
    <w:rsid w:val="00D00DE5"/>
    <w:rsid w:val="00D021B8"/>
    <w:rsid w:val="00D0349B"/>
    <w:rsid w:val="00D05F72"/>
    <w:rsid w:val="00D10249"/>
    <w:rsid w:val="00D115C3"/>
    <w:rsid w:val="00D11897"/>
    <w:rsid w:val="00D12167"/>
    <w:rsid w:val="00D13135"/>
    <w:rsid w:val="00D13E4E"/>
    <w:rsid w:val="00D239A7"/>
    <w:rsid w:val="00D23DD9"/>
    <w:rsid w:val="00D23F47"/>
    <w:rsid w:val="00D33000"/>
    <w:rsid w:val="00D36E71"/>
    <w:rsid w:val="00D37D87"/>
    <w:rsid w:val="00D40B33"/>
    <w:rsid w:val="00D41AE7"/>
    <w:rsid w:val="00D4318F"/>
    <w:rsid w:val="00D438BF"/>
    <w:rsid w:val="00D440F8"/>
    <w:rsid w:val="00D44FA4"/>
    <w:rsid w:val="00D4528B"/>
    <w:rsid w:val="00D453FF"/>
    <w:rsid w:val="00D50F97"/>
    <w:rsid w:val="00D52BAF"/>
    <w:rsid w:val="00D546FF"/>
    <w:rsid w:val="00D55AD5"/>
    <w:rsid w:val="00D576CA"/>
    <w:rsid w:val="00D61808"/>
    <w:rsid w:val="00D61AF5"/>
    <w:rsid w:val="00D62651"/>
    <w:rsid w:val="00D652B5"/>
    <w:rsid w:val="00D66155"/>
    <w:rsid w:val="00D6690C"/>
    <w:rsid w:val="00D708B0"/>
    <w:rsid w:val="00D77B1D"/>
    <w:rsid w:val="00D8021F"/>
    <w:rsid w:val="00D80383"/>
    <w:rsid w:val="00D80AAB"/>
    <w:rsid w:val="00D815DB"/>
    <w:rsid w:val="00D823C6"/>
    <w:rsid w:val="00D84909"/>
    <w:rsid w:val="00D86CA3"/>
    <w:rsid w:val="00D871CE"/>
    <w:rsid w:val="00D90ACD"/>
    <w:rsid w:val="00D91317"/>
    <w:rsid w:val="00D9196D"/>
    <w:rsid w:val="00D92982"/>
    <w:rsid w:val="00D95240"/>
    <w:rsid w:val="00D96DBC"/>
    <w:rsid w:val="00DA305E"/>
    <w:rsid w:val="00DA48EC"/>
    <w:rsid w:val="00DA5417"/>
    <w:rsid w:val="00DA56E8"/>
    <w:rsid w:val="00DA67A4"/>
    <w:rsid w:val="00DA6C9F"/>
    <w:rsid w:val="00DA6FD1"/>
    <w:rsid w:val="00DB0690"/>
    <w:rsid w:val="00DB0A9F"/>
    <w:rsid w:val="00DB377D"/>
    <w:rsid w:val="00DB4546"/>
    <w:rsid w:val="00DC1749"/>
    <w:rsid w:val="00DC2D36"/>
    <w:rsid w:val="00DC53EF"/>
    <w:rsid w:val="00DD7092"/>
    <w:rsid w:val="00DE5608"/>
    <w:rsid w:val="00DE58D0"/>
    <w:rsid w:val="00DE654F"/>
    <w:rsid w:val="00DF0B6E"/>
    <w:rsid w:val="00DF15E0"/>
    <w:rsid w:val="00DF37A0"/>
    <w:rsid w:val="00E0054D"/>
    <w:rsid w:val="00E04496"/>
    <w:rsid w:val="00E04EC1"/>
    <w:rsid w:val="00E06621"/>
    <w:rsid w:val="00E110E7"/>
    <w:rsid w:val="00E11B20"/>
    <w:rsid w:val="00E17FA2"/>
    <w:rsid w:val="00E21B8E"/>
    <w:rsid w:val="00E22330"/>
    <w:rsid w:val="00E22DD5"/>
    <w:rsid w:val="00E245B2"/>
    <w:rsid w:val="00E30B5A"/>
    <w:rsid w:val="00E3123D"/>
    <w:rsid w:val="00E31461"/>
    <w:rsid w:val="00E31D43"/>
    <w:rsid w:val="00E32608"/>
    <w:rsid w:val="00E34188"/>
    <w:rsid w:val="00E34B6E"/>
    <w:rsid w:val="00E35559"/>
    <w:rsid w:val="00E3723A"/>
    <w:rsid w:val="00E37860"/>
    <w:rsid w:val="00E40A32"/>
    <w:rsid w:val="00E445C7"/>
    <w:rsid w:val="00E446F1"/>
    <w:rsid w:val="00E464F3"/>
    <w:rsid w:val="00E46886"/>
    <w:rsid w:val="00E47AEF"/>
    <w:rsid w:val="00E50357"/>
    <w:rsid w:val="00E53B75"/>
    <w:rsid w:val="00E54E3B"/>
    <w:rsid w:val="00E57565"/>
    <w:rsid w:val="00E63838"/>
    <w:rsid w:val="00E64434"/>
    <w:rsid w:val="00E67C51"/>
    <w:rsid w:val="00E70090"/>
    <w:rsid w:val="00E700E0"/>
    <w:rsid w:val="00E70172"/>
    <w:rsid w:val="00E7035B"/>
    <w:rsid w:val="00E72EFC"/>
    <w:rsid w:val="00E758EC"/>
    <w:rsid w:val="00E80A3C"/>
    <w:rsid w:val="00E8234C"/>
    <w:rsid w:val="00E83AA9"/>
    <w:rsid w:val="00E85728"/>
    <w:rsid w:val="00E85928"/>
    <w:rsid w:val="00E87822"/>
    <w:rsid w:val="00E90395"/>
    <w:rsid w:val="00E90E49"/>
    <w:rsid w:val="00E916E9"/>
    <w:rsid w:val="00E917F9"/>
    <w:rsid w:val="00E9291C"/>
    <w:rsid w:val="00E93FFE"/>
    <w:rsid w:val="00E94F8A"/>
    <w:rsid w:val="00EA017D"/>
    <w:rsid w:val="00EA799E"/>
    <w:rsid w:val="00EA7A41"/>
    <w:rsid w:val="00EA7C8F"/>
    <w:rsid w:val="00EB077B"/>
    <w:rsid w:val="00EB1A2B"/>
    <w:rsid w:val="00EB3B11"/>
    <w:rsid w:val="00EB3C85"/>
    <w:rsid w:val="00EB4EA2"/>
    <w:rsid w:val="00EB6900"/>
    <w:rsid w:val="00EB7F57"/>
    <w:rsid w:val="00EC0252"/>
    <w:rsid w:val="00EC27C6"/>
    <w:rsid w:val="00EC4207"/>
    <w:rsid w:val="00EC5653"/>
    <w:rsid w:val="00EC71CE"/>
    <w:rsid w:val="00EC7358"/>
    <w:rsid w:val="00ED0581"/>
    <w:rsid w:val="00ED1006"/>
    <w:rsid w:val="00ED49F2"/>
    <w:rsid w:val="00ED57BF"/>
    <w:rsid w:val="00ED5FC6"/>
    <w:rsid w:val="00ED6A54"/>
    <w:rsid w:val="00EE7BD1"/>
    <w:rsid w:val="00EF18FE"/>
    <w:rsid w:val="00EF1C31"/>
    <w:rsid w:val="00EF1DC2"/>
    <w:rsid w:val="00EF5787"/>
    <w:rsid w:val="00EF60D0"/>
    <w:rsid w:val="00F0528D"/>
    <w:rsid w:val="00F06C67"/>
    <w:rsid w:val="00F06DFD"/>
    <w:rsid w:val="00F071D1"/>
    <w:rsid w:val="00F07533"/>
    <w:rsid w:val="00F10629"/>
    <w:rsid w:val="00F15FA5"/>
    <w:rsid w:val="00F209B7"/>
    <w:rsid w:val="00F230CB"/>
    <w:rsid w:val="00F2376F"/>
    <w:rsid w:val="00F243D8"/>
    <w:rsid w:val="00F30828"/>
    <w:rsid w:val="00F313D6"/>
    <w:rsid w:val="00F40F0C"/>
    <w:rsid w:val="00F4593A"/>
    <w:rsid w:val="00F4766C"/>
    <w:rsid w:val="00F507D1"/>
    <w:rsid w:val="00F519CE"/>
    <w:rsid w:val="00F51ADA"/>
    <w:rsid w:val="00F51FCE"/>
    <w:rsid w:val="00F557B8"/>
    <w:rsid w:val="00F607C5"/>
    <w:rsid w:val="00F60DEA"/>
    <w:rsid w:val="00F6302A"/>
    <w:rsid w:val="00F64C2B"/>
    <w:rsid w:val="00F651BE"/>
    <w:rsid w:val="00F67F53"/>
    <w:rsid w:val="00F703BE"/>
    <w:rsid w:val="00F71F69"/>
    <w:rsid w:val="00F72B72"/>
    <w:rsid w:val="00F73C7E"/>
    <w:rsid w:val="00F74BB9"/>
    <w:rsid w:val="00F75582"/>
    <w:rsid w:val="00F76EFA"/>
    <w:rsid w:val="00F804BE"/>
    <w:rsid w:val="00F817CE"/>
    <w:rsid w:val="00F81A6A"/>
    <w:rsid w:val="00F8456C"/>
    <w:rsid w:val="00F859D8"/>
    <w:rsid w:val="00F868F5"/>
    <w:rsid w:val="00F9056A"/>
    <w:rsid w:val="00F90F8D"/>
    <w:rsid w:val="00F92452"/>
    <w:rsid w:val="00F92782"/>
    <w:rsid w:val="00F93AA9"/>
    <w:rsid w:val="00F96985"/>
    <w:rsid w:val="00F97838"/>
    <w:rsid w:val="00F97FCD"/>
    <w:rsid w:val="00FA168F"/>
    <w:rsid w:val="00FA2BB3"/>
    <w:rsid w:val="00FA380D"/>
    <w:rsid w:val="00FA5642"/>
    <w:rsid w:val="00FA6FE2"/>
    <w:rsid w:val="00FB4C80"/>
    <w:rsid w:val="00FB6A6A"/>
    <w:rsid w:val="00FC37BD"/>
    <w:rsid w:val="00FC7429"/>
    <w:rsid w:val="00FD07F6"/>
    <w:rsid w:val="00FD1EC8"/>
    <w:rsid w:val="00FD2B4D"/>
    <w:rsid w:val="00FD47ED"/>
    <w:rsid w:val="00FD5F13"/>
    <w:rsid w:val="00FD74DB"/>
    <w:rsid w:val="00FD7660"/>
    <w:rsid w:val="00FD77A8"/>
    <w:rsid w:val="00FE0655"/>
    <w:rsid w:val="00FE2365"/>
    <w:rsid w:val="00FE3BF6"/>
    <w:rsid w:val="00FE3F9C"/>
    <w:rsid w:val="00FE4C7B"/>
    <w:rsid w:val="00FE7336"/>
    <w:rsid w:val="00FE787C"/>
    <w:rsid w:val="00FF19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DD003"/>
  <w15:chartTrackingRefBased/>
  <w15:docId w15:val="{3A11C41E-BA0E-40BF-B1C6-C7877A61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AA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link w:val="CommentTextChar"/>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link w:val="B1Char1"/>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link w:val="TACChar"/>
    <w:rsid w:val="00B86558"/>
    <w:pPr>
      <w:jc w:val="center"/>
    </w:pPr>
  </w:style>
  <w:style w:type="paragraph" w:customStyle="1" w:styleId="TAH">
    <w:name w:val="TAH"/>
    <w:basedOn w:val="TAC"/>
    <w:link w:val="TAHCar"/>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02A5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link w:val="ListParagraphChar"/>
    <w:uiPriority w:val="34"/>
    <w:qFormat/>
    <w:rsid w:val="00457989"/>
    <w:pPr>
      <w:ind w:left="720"/>
      <w:contextualSpacing/>
    </w:pPr>
  </w:style>
  <w:style w:type="character" w:customStyle="1" w:styleId="CommentTextChar">
    <w:name w:val="Comment Text Char"/>
    <w:basedOn w:val="DefaultParagraphFont"/>
    <w:link w:val="CommentText"/>
    <w:semiHidden/>
    <w:rsid w:val="00BB1A5A"/>
    <w:rPr>
      <w:rFonts w:ascii="Arial" w:hAnsi="Arial"/>
      <w:lang w:val="en-GB" w:eastAsia="zh-CN"/>
    </w:rPr>
  </w:style>
  <w:style w:type="character" w:customStyle="1" w:styleId="ListParagraphChar">
    <w:name w:val="List Paragraph Char"/>
    <w:link w:val="ListParagraph"/>
    <w:uiPriority w:val="34"/>
    <w:locked/>
    <w:rsid w:val="00BB1A5A"/>
    <w:rPr>
      <w:rFonts w:ascii="Arial" w:hAnsi="Arial"/>
      <w:lang w:val="en-GB" w:eastAsia="zh-CN"/>
    </w:rPr>
  </w:style>
  <w:style w:type="character" w:customStyle="1" w:styleId="TACChar">
    <w:name w:val="TAC Char"/>
    <w:link w:val="TAC"/>
    <w:locked/>
    <w:rsid w:val="002C3715"/>
    <w:rPr>
      <w:rFonts w:ascii="Arial" w:hAnsi="Arial"/>
      <w:sz w:val="18"/>
      <w:lang w:val="en-GB" w:eastAsia="en-US"/>
    </w:rPr>
  </w:style>
  <w:style w:type="character" w:customStyle="1" w:styleId="TAHCar">
    <w:name w:val="TAH Car"/>
    <w:link w:val="TAH"/>
    <w:locked/>
    <w:rsid w:val="002C3715"/>
    <w:rPr>
      <w:rFonts w:ascii="Arial" w:hAnsi="Arial"/>
      <w:b/>
      <w:sz w:val="18"/>
      <w:lang w:val="en-GB" w:eastAsia="en-US"/>
    </w:rPr>
  </w:style>
  <w:style w:type="character" w:customStyle="1" w:styleId="B1Char1">
    <w:name w:val="B1 Char1"/>
    <w:link w:val="B1"/>
    <w:rsid w:val="00E21B8E"/>
    <w:rPr>
      <w:rFonts w:ascii="Arial" w:hAnsi="Arial"/>
      <w:lang w:val="en-GB" w:eastAsia="en-US"/>
    </w:rPr>
  </w:style>
  <w:style w:type="paragraph" w:customStyle="1" w:styleId="textintend2">
    <w:name w:val="text intend 2"/>
    <w:basedOn w:val="Normal"/>
    <w:rsid w:val="00E21B8E"/>
    <w:pPr>
      <w:numPr>
        <w:numId w:val="32"/>
      </w:numPr>
    </w:pPr>
    <w:rPr>
      <w:rFonts w:ascii="Times New Roman" w:eastAsia="MS Mincho" w:hAnsi="Times New Roman"/>
      <w:sz w:val="24"/>
      <w:lang w:val="en-US" w:eastAsia="en-US"/>
    </w:rPr>
  </w:style>
  <w:style w:type="character" w:customStyle="1" w:styleId="UnresolvedMention1">
    <w:name w:val="Unresolved Mention1"/>
    <w:basedOn w:val="DefaultParagraphFont"/>
    <w:uiPriority w:val="99"/>
    <w:semiHidden/>
    <w:unhideWhenUsed/>
    <w:rsid w:val="00B84E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068575">
      <w:bodyDiv w:val="1"/>
      <w:marLeft w:val="0"/>
      <w:marRight w:val="0"/>
      <w:marTop w:val="0"/>
      <w:marBottom w:val="0"/>
      <w:divBdr>
        <w:top w:val="none" w:sz="0" w:space="0" w:color="auto"/>
        <w:left w:val="none" w:sz="0" w:space="0" w:color="auto"/>
        <w:bottom w:val="none" w:sz="0" w:space="0" w:color="auto"/>
        <w:right w:val="none" w:sz="0" w:space="0" w:color="auto"/>
      </w:divBdr>
      <w:divsChild>
        <w:div w:id="777523277">
          <w:marLeft w:val="835"/>
          <w:marRight w:val="0"/>
          <w:marTop w:val="67"/>
          <w:marBottom w:val="0"/>
          <w:divBdr>
            <w:top w:val="none" w:sz="0" w:space="0" w:color="auto"/>
            <w:left w:val="none" w:sz="0" w:space="0" w:color="auto"/>
            <w:bottom w:val="none" w:sz="0" w:space="0" w:color="auto"/>
            <w:right w:val="none" w:sz="0" w:space="0" w:color="auto"/>
          </w:divBdr>
        </w:div>
        <w:div w:id="870262344">
          <w:marLeft w:val="835"/>
          <w:marRight w:val="0"/>
          <w:marTop w:val="67"/>
          <w:marBottom w:val="0"/>
          <w:divBdr>
            <w:top w:val="none" w:sz="0" w:space="0" w:color="auto"/>
            <w:left w:val="none" w:sz="0" w:space="0" w:color="auto"/>
            <w:bottom w:val="none" w:sz="0" w:space="0" w:color="auto"/>
            <w:right w:val="none" w:sz="0" w:space="0" w:color="auto"/>
          </w:divBdr>
        </w:div>
        <w:div w:id="1995643626">
          <w:marLeft w:val="274"/>
          <w:marRight w:val="0"/>
          <w:marTop w:val="82"/>
          <w:marBottom w:val="0"/>
          <w:divBdr>
            <w:top w:val="none" w:sz="0" w:space="0" w:color="auto"/>
            <w:left w:val="none" w:sz="0" w:space="0" w:color="auto"/>
            <w:bottom w:val="none" w:sz="0" w:space="0" w:color="auto"/>
            <w:right w:val="none" w:sz="0" w:space="0" w:color="auto"/>
          </w:divBdr>
        </w:div>
      </w:divsChild>
    </w:div>
    <w:div w:id="716971318">
      <w:bodyDiv w:val="1"/>
      <w:marLeft w:val="0"/>
      <w:marRight w:val="0"/>
      <w:marTop w:val="0"/>
      <w:marBottom w:val="0"/>
      <w:divBdr>
        <w:top w:val="none" w:sz="0" w:space="0" w:color="auto"/>
        <w:left w:val="none" w:sz="0" w:space="0" w:color="auto"/>
        <w:bottom w:val="none" w:sz="0" w:space="0" w:color="auto"/>
        <w:right w:val="none" w:sz="0" w:space="0" w:color="auto"/>
      </w:divBdr>
      <w:divsChild>
        <w:div w:id="121655542">
          <w:marLeft w:val="835"/>
          <w:marRight w:val="0"/>
          <w:marTop w:val="62"/>
          <w:marBottom w:val="0"/>
          <w:divBdr>
            <w:top w:val="none" w:sz="0" w:space="0" w:color="auto"/>
            <w:left w:val="none" w:sz="0" w:space="0" w:color="auto"/>
            <w:bottom w:val="none" w:sz="0" w:space="0" w:color="auto"/>
            <w:right w:val="none" w:sz="0" w:space="0" w:color="auto"/>
          </w:divBdr>
        </w:div>
        <w:div w:id="504789674">
          <w:marLeft w:val="835"/>
          <w:marRight w:val="0"/>
          <w:marTop w:val="62"/>
          <w:marBottom w:val="0"/>
          <w:divBdr>
            <w:top w:val="none" w:sz="0" w:space="0" w:color="auto"/>
            <w:left w:val="none" w:sz="0" w:space="0" w:color="auto"/>
            <w:bottom w:val="none" w:sz="0" w:space="0" w:color="auto"/>
            <w:right w:val="none" w:sz="0" w:space="0" w:color="auto"/>
          </w:divBdr>
        </w:div>
        <w:div w:id="1130784274">
          <w:marLeft w:val="1411"/>
          <w:marRight w:val="0"/>
          <w:marTop w:val="62"/>
          <w:marBottom w:val="0"/>
          <w:divBdr>
            <w:top w:val="none" w:sz="0" w:space="0" w:color="auto"/>
            <w:left w:val="none" w:sz="0" w:space="0" w:color="auto"/>
            <w:bottom w:val="none" w:sz="0" w:space="0" w:color="auto"/>
            <w:right w:val="none" w:sz="0" w:space="0" w:color="auto"/>
          </w:divBdr>
        </w:div>
        <w:div w:id="1196961005">
          <w:marLeft w:val="1973"/>
          <w:marRight w:val="0"/>
          <w:marTop w:val="62"/>
          <w:marBottom w:val="0"/>
          <w:divBdr>
            <w:top w:val="none" w:sz="0" w:space="0" w:color="auto"/>
            <w:left w:val="none" w:sz="0" w:space="0" w:color="auto"/>
            <w:bottom w:val="none" w:sz="0" w:space="0" w:color="auto"/>
            <w:right w:val="none" w:sz="0" w:space="0" w:color="auto"/>
          </w:divBdr>
        </w:div>
        <w:div w:id="1260799360">
          <w:marLeft w:val="835"/>
          <w:marRight w:val="0"/>
          <w:marTop w:val="62"/>
          <w:marBottom w:val="0"/>
          <w:divBdr>
            <w:top w:val="none" w:sz="0" w:space="0" w:color="auto"/>
            <w:left w:val="none" w:sz="0" w:space="0" w:color="auto"/>
            <w:bottom w:val="none" w:sz="0" w:space="0" w:color="auto"/>
            <w:right w:val="none" w:sz="0" w:space="0" w:color="auto"/>
          </w:divBdr>
        </w:div>
        <w:div w:id="1358383097">
          <w:marLeft w:val="274"/>
          <w:marRight w:val="0"/>
          <w:marTop w:val="72"/>
          <w:marBottom w:val="0"/>
          <w:divBdr>
            <w:top w:val="none" w:sz="0" w:space="0" w:color="auto"/>
            <w:left w:val="none" w:sz="0" w:space="0" w:color="auto"/>
            <w:bottom w:val="none" w:sz="0" w:space="0" w:color="auto"/>
            <w:right w:val="none" w:sz="0" w:space="0" w:color="auto"/>
          </w:divBdr>
        </w:div>
        <w:div w:id="1453286185">
          <w:marLeft w:val="835"/>
          <w:marRight w:val="0"/>
          <w:marTop w:val="62"/>
          <w:marBottom w:val="0"/>
          <w:divBdr>
            <w:top w:val="none" w:sz="0" w:space="0" w:color="auto"/>
            <w:left w:val="none" w:sz="0" w:space="0" w:color="auto"/>
            <w:bottom w:val="none" w:sz="0" w:space="0" w:color="auto"/>
            <w:right w:val="none" w:sz="0" w:space="0" w:color="auto"/>
          </w:divBdr>
        </w:div>
        <w:div w:id="1506936783">
          <w:marLeft w:val="1411"/>
          <w:marRight w:val="0"/>
          <w:marTop w:val="62"/>
          <w:marBottom w:val="0"/>
          <w:divBdr>
            <w:top w:val="none" w:sz="0" w:space="0" w:color="auto"/>
            <w:left w:val="none" w:sz="0" w:space="0" w:color="auto"/>
            <w:bottom w:val="none" w:sz="0" w:space="0" w:color="auto"/>
            <w:right w:val="none" w:sz="0" w:space="0" w:color="auto"/>
          </w:divBdr>
        </w:div>
        <w:div w:id="1680280234">
          <w:marLeft w:val="835"/>
          <w:marRight w:val="0"/>
          <w:marTop w:val="62"/>
          <w:marBottom w:val="0"/>
          <w:divBdr>
            <w:top w:val="none" w:sz="0" w:space="0" w:color="auto"/>
            <w:left w:val="none" w:sz="0" w:space="0" w:color="auto"/>
            <w:bottom w:val="none" w:sz="0" w:space="0" w:color="auto"/>
            <w:right w:val="none" w:sz="0" w:space="0" w:color="auto"/>
          </w:divBdr>
        </w:div>
        <w:div w:id="1840775249">
          <w:marLeft w:val="274"/>
          <w:marRight w:val="0"/>
          <w:marTop w:val="72"/>
          <w:marBottom w:val="0"/>
          <w:divBdr>
            <w:top w:val="none" w:sz="0" w:space="0" w:color="auto"/>
            <w:left w:val="none" w:sz="0" w:space="0" w:color="auto"/>
            <w:bottom w:val="none" w:sz="0" w:space="0" w:color="auto"/>
            <w:right w:val="none" w:sz="0" w:space="0" w:color="auto"/>
          </w:divBdr>
        </w:div>
      </w:divsChild>
    </w:div>
    <w:div w:id="740061185">
      <w:bodyDiv w:val="1"/>
      <w:marLeft w:val="0"/>
      <w:marRight w:val="0"/>
      <w:marTop w:val="0"/>
      <w:marBottom w:val="0"/>
      <w:divBdr>
        <w:top w:val="none" w:sz="0" w:space="0" w:color="auto"/>
        <w:left w:val="none" w:sz="0" w:space="0" w:color="auto"/>
        <w:bottom w:val="none" w:sz="0" w:space="0" w:color="auto"/>
        <w:right w:val="none" w:sz="0" w:space="0" w:color="auto"/>
      </w:divBdr>
      <w:divsChild>
        <w:div w:id="215246161">
          <w:marLeft w:val="835"/>
          <w:marRight w:val="0"/>
          <w:marTop w:val="77"/>
          <w:marBottom w:val="0"/>
          <w:divBdr>
            <w:top w:val="none" w:sz="0" w:space="0" w:color="auto"/>
            <w:left w:val="none" w:sz="0" w:space="0" w:color="auto"/>
            <w:bottom w:val="none" w:sz="0" w:space="0" w:color="auto"/>
            <w:right w:val="none" w:sz="0" w:space="0" w:color="auto"/>
          </w:divBdr>
        </w:div>
        <w:div w:id="778767906">
          <w:marLeft w:val="835"/>
          <w:marRight w:val="0"/>
          <w:marTop w:val="77"/>
          <w:marBottom w:val="0"/>
          <w:divBdr>
            <w:top w:val="none" w:sz="0" w:space="0" w:color="auto"/>
            <w:left w:val="none" w:sz="0" w:space="0" w:color="auto"/>
            <w:bottom w:val="none" w:sz="0" w:space="0" w:color="auto"/>
            <w:right w:val="none" w:sz="0" w:space="0" w:color="auto"/>
          </w:divBdr>
        </w:div>
        <w:div w:id="830292173">
          <w:marLeft w:val="1411"/>
          <w:marRight w:val="0"/>
          <w:marTop w:val="77"/>
          <w:marBottom w:val="0"/>
          <w:divBdr>
            <w:top w:val="none" w:sz="0" w:space="0" w:color="auto"/>
            <w:left w:val="none" w:sz="0" w:space="0" w:color="auto"/>
            <w:bottom w:val="none" w:sz="0" w:space="0" w:color="auto"/>
            <w:right w:val="none" w:sz="0" w:space="0" w:color="auto"/>
          </w:divBdr>
        </w:div>
        <w:div w:id="923222731">
          <w:marLeft w:val="1411"/>
          <w:marRight w:val="0"/>
          <w:marTop w:val="77"/>
          <w:marBottom w:val="0"/>
          <w:divBdr>
            <w:top w:val="none" w:sz="0" w:space="0" w:color="auto"/>
            <w:left w:val="none" w:sz="0" w:space="0" w:color="auto"/>
            <w:bottom w:val="none" w:sz="0" w:space="0" w:color="auto"/>
            <w:right w:val="none" w:sz="0" w:space="0" w:color="auto"/>
          </w:divBdr>
        </w:div>
        <w:div w:id="1437870558">
          <w:marLeft w:val="1973"/>
          <w:marRight w:val="0"/>
          <w:marTop w:val="77"/>
          <w:marBottom w:val="0"/>
          <w:divBdr>
            <w:top w:val="none" w:sz="0" w:space="0" w:color="auto"/>
            <w:left w:val="none" w:sz="0" w:space="0" w:color="auto"/>
            <w:bottom w:val="none" w:sz="0" w:space="0" w:color="auto"/>
            <w:right w:val="none" w:sz="0" w:space="0" w:color="auto"/>
          </w:divBdr>
        </w:div>
        <w:div w:id="1484737919">
          <w:marLeft w:val="835"/>
          <w:marRight w:val="0"/>
          <w:marTop w:val="77"/>
          <w:marBottom w:val="0"/>
          <w:divBdr>
            <w:top w:val="none" w:sz="0" w:space="0" w:color="auto"/>
            <w:left w:val="none" w:sz="0" w:space="0" w:color="auto"/>
            <w:bottom w:val="none" w:sz="0" w:space="0" w:color="auto"/>
            <w:right w:val="none" w:sz="0" w:space="0" w:color="auto"/>
          </w:divBdr>
        </w:div>
        <w:div w:id="1772820225">
          <w:marLeft w:val="274"/>
          <w:marRight w:val="0"/>
          <w:marTop w:val="91"/>
          <w:marBottom w:val="0"/>
          <w:divBdr>
            <w:top w:val="none" w:sz="0" w:space="0" w:color="auto"/>
            <w:left w:val="none" w:sz="0" w:space="0" w:color="auto"/>
            <w:bottom w:val="none" w:sz="0" w:space="0" w:color="auto"/>
            <w:right w:val="none" w:sz="0" w:space="0" w:color="auto"/>
          </w:divBdr>
        </w:div>
        <w:div w:id="1999647363">
          <w:marLeft w:val="835"/>
          <w:marRight w:val="0"/>
          <w:marTop w:val="77"/>
          <w:marBottom w:val="0"/>
          <w:divBdr>
            <w:top w:val="none" w:sz="0" w:space="0" w:color="auto"/>
            <w:left w:val="none" w:sz="0" w:space="0" w:color="auto"/>
            <w:bottom w:val="none" w:sz="0" w:space="0" w:color="auto"/>
            <w:right w:val="none" w:sz="0" w:space="0" w:color="auto"/>
          </w:divBdr>
        </w:div>
      </w:divsChild>
    </w:div>
    <w:div w:id="877280181">
      <w:bodyDiv w:val="1"/>
      <w:marLeft w:val="0"/>
      <w:marRight w:val="0"/>
      <w:marTop w:val="0"/>
      <w:marBottom w:val="0"/>
      <w:divBdr>
        <w:top w:val="none" w:sz="0" w:space="0" w:color="auto"/>
        <w:left w:val="none" w:sz="0" w:space="0" w:color="auto"/>
        <w:bottom w:val="none" w:sz="0" w:space="0" w:color="auto"/>
        <w:right w:val="none" w:sz="0" w:space="0" w:color="auto"/>
      </w:divBdr>
      <w:divsChild>
        <w:div w:id="208152685">
          <w:marLeft w:val="274"/>
          <w:marRight w:val="0"/>
          <w:marTop w:val="115"/>
          <w:marBottom w:val="0"/>
          <w:divBdr>
            <w:top w:val="none" w:sz="0" w:space="0" w:color="auto"/>
            <w:left w:val="none" w:sz="0" w:space="0" w:color="auto"/>
            <w:bottom w:val="none" w:sz="0" w:space="0" w:color="auto"/>
            <w:right w:val="none" w:sz="0" w:space="0" w:color="auto"/>
          </w:divBdr>
        </w:div>
        <w:div w:id="218130984">
          <w:marLeft w:val="1411"/>
          <w:marRight w:val="0"/>
          <w:marTop w:val="96"/>
          <w:marBottom w:val="0"/>
          <w:divBdr>
            <w:top w:val="none" w:sz="0" w:space="0" w:color="auto"/>
            <w:left w:val="none" w:sz="0" w:space="0" w:color="auto"/>
            <w:bottom w:val="none" w:sz="0" w:space="0" w:color="auto"/>
            <w:right w:val="none" w:sz="0" w:space="0" w:color="auto"/>
          </w:divBdr>
        </w:div>
        <w:div w:id="264968755">
          <w:marLeft w:val="835"/>
          <w:marRight w:val="0"/>
          <w:marTop w:val="96"/>
          <w:marBottom w:val="0"/>
          <w:divBdr>
            <w:top w:val="none" w:sz="0" w:space="0" w:color="auto"/>
            <w:left w:val="none" w:sz="0" w:space="0" w:color="auto"/>
            <w:bottom w:val="none" w:sz="0" w:space="0" w:color="auto"/>
            <w:right w:val="none" w:sz="0" w:space="0" w:color="auto"/>
          </w:divBdr>
        </w:div>
        <w:div w:id="397217020">
          <w:marLeft w:val="1411"/>
          <w:marRight w:val="0"/>
          <w:marTop w:val="96"/>
          <w:marBottom w:val="0"/>
          <w:divBdr>
            <w:top w:val="none" w:sz="0" w:space="0" w:color="auto"/>
            <w:left w:val="none" w:sz="0" w:space="0" w:color="auto"/>
            <w:bottom w:val="none" w:sz="0" w:space="0" w:color="auto"/>
            <w:right w:val="none" w:sz="0" w:space="0" w:color="auto"/>
          </w:divBdr>
        </w:div>
        <w:div w:id="1126705407">
          <w:marLeft w:val="1411"/>
          <w:marRight w:val="0"/>
          <w:marTop w:val="96"/>
          <w:marBottom w:val="0"/>
          <w:divBdr>
            <w:top w:val="none" w:sz="0" w:space="0" w:color="auto"/>
            <w:left w:val="none" w:sz="0" w:space="0" w:color="auto"/>
            <w:bottom w:val="none" w:sz="0" w:space="0" w:color="auto"/>
            <w:right w:val="none" w:sz="0" w:space="0" w:color="auto"/>
          </w:divBdr>
        </w:div>
        <w:div w:id="2001275160">
          <w:marLeft w:val="835"/>
          <w:marRight w:val="0"/>
          <w:marTop w:val="96"/>
          <w:marBottom w:val="0"/>
          <w:divBdr>
            <w:top w:val="none" w:sz="0" w:space="0" w:color="auto"/>
            <w:left w:val="none" w:sz="0" w:space="0" w:color="auto"/>
            <w:bottom w:val="none" w:sz="0" w:space="0" w:color="auto"/>
            <w:right w:val="none" w:sz="0" w:space="0" w:color="auto"/>
          </w:divBdr>
        </w:div>
        <w:div w:id="2101487480">
          <w:marLeft w:val="274"/>
          <w:marRight w:val="0"/>
          <w:marTop w:val="115"/>
          <w:marBottom w:val="0"/>
          <w:divBdr>
            <w:top w:val="none" w:sz="0" w:space="0" w:color="auto"/>
            <w:left w:val="none" w:sz="0" w:space="0" w:color="auto"/>
            <w:bottom w:val="none" w:sz="0" w:space="0" w:color="auto"/>
            <w:right w:val="none" w:sz="0" w:space="0" w:color="auto"/>
          </w:divBdr>
        </w:div>
        <w:div w:id="2103261656">
          <w:marLeft w:val="835"/>
          <w:marRight w:val="0"/>
          <w:marTop w:val="96"/>
          <w:marBottom w:val="0"/>
          <w:divBdr>
            <w:top w:val="none" w:sz="0" w:space="0" w:color="auto"/>
            <w:left w:val="none" w:sz="0" w:space="0" w:color="auto"/>
            <w:bottom w:val="none" w:sz="0" w:space="0" w:color="auto"/>
            <w:right w:val="none" w:sz="0" w:space="0" w:color="auto"/>
          </w:divBdr>
        </w:div>
      </w:divsChild>
    </w:div>
    <w:div w:id="1011104036">
      <w:bodyDiv w:val="1"/>
      <w:marLeft w:val="0"/>
      <w:marRight w:val="0"/>
      <w:marTop w:val="0"/>
      <w:marBottom w:val="0"/>
      <w:divBdr>
        <w:top w:val="none" w:sz="0" w:space="0" w:color="auto"/>
        <w:left w:val="none" w:sz="0" w:space="0" w:color="auto"/>
        <w:bottom w:val="none" w:sz="0" w:space="0" w:color="auto"/>
        <w:right w:val="none" w:sz="0" w:space="0" w:color="auto"/>
      </w:divBdr>
    </w:div>
    <w:div w:id="1060595735">
      <w:bodyDiv w:val="1"/>
      <w:marLeft w:val="0"/>
      <w:marRight w:val="0"/>
      <w:marTop w:val="0"/>
      <w:marBottom w:val="0"/>
      <w:divBdr>
        <w:top w:val="none" w:sz="0" w:space="0" w:color="auto"/>
        <w:left w:val="none" w:sz="0" w:space="0" w:color="auto"/>
        <w:bottom w:val="none" w:sz="0" w:space="0" w:color="auto"/>
        <w:right w:val="none" w:sz="0" w:space="0" w:color="auto"/>
      </w:divBdr>
    </w:div>
    <w:div w:id="1096243182">
      <w:bodyDiv w:val="1"/>
      <w:marLeft w:val="0"/>
      <w:marRight w:val="0"/>
      <w:marTop w:val="0"/>
      <w:marBottom w:val="0"/>
      <w:divBdr>
        <w:top w:val="none" w:sz="0" w:space="0" w:color="auto"/>
        <w:left w:val="none" w:sz="0" w:space="0" w:color="auto"/>
        <w:bottom w:val="none" w:sz="0" w:space="0" w:color="auto"/>
        <w:right w:val="none" w:sz="0" w:space="0" w:color="auto"/>
      </w:divBdr>
    </w:div>
    <w:div w:id="1197350739">
      <w:bodyDiv w:val="1"/>
      <w:marLeft w:val="0"/>
      <w:marRight w:val="0"/>
      <w:marTop w:val="0"/>
      <w:marBottom w:val="0"/>
      <w:divBdr>
        <w:top w:val="none" w:sz="0" w:space="0" w:color="auto"/>
        <w:left w:val="none" w:sz="0" w:space="0" w:color="auto"/>
        <w:bottom w:val="none" w:sz="0" w:space="0" w:color="auto"/>
        <w:right w:val="none" w:sz="0" w:space="0" w:color="auto"/>
      </w:divBdr>
    </w:div>
    <w:div w:id="1200585539">
      <w:bodyDiv w:val="1"/>
      <w:marLeft w:val="0"/>
      <w:marRight w:val="0"/>
      <w:marTop w:val="0"/>
      <w:marBottom w:val="0"/>
      <w:divBdr>
        <w:top w:val="none" w:sz="0" w:space="0" w:color="auto"/>
        <w:left w:val="none" w:sz="0" w:space="0" w:color="auto"/>
        <w:bottom w:val="none" w:sz="0" w:space="0" w:color="auto"/>
        <w:right w:val="none" w:sz="0" w:space="0" w:color="auto"/>
      </w:divBdr>
    </w:div>
    <w:div w:id="1419671524">
      <w:bodyDiv w:val="1"/>
      <w:marLeft w:val="0"/>
      <w:marRight w:val="0"/>
      <w:marTop w:val="0"/>
      <w:marBottom w:val="0"/>
      <w:divBdr>
        <w:top w:val="none" w:sz="0" w:space="0" w:color="auto"/>
        <w:left w:val="none" w:sz="0" w:space="0" w:color="auto"/>
        <w:bottom w:val="none" w:sz="0" w:space="0" w:color="auto"/>
        <w:right w:val="none" w:sz="0" w:space="0" w:color="auto"/>
      </w:divBdr>
    </w:div>
    <w:div w:id="1652098000">
      <w:bodyDiv w:val="1"/>
      <w:marLeft w:val="0"/>
      <w:marRight w:val="0"/>
      <w:marTop w:val="0"/>
      <w:marBottom w:val="0"/>
      <w:divBdr>
        <w:top w:val="none" w:sz="0" w:space="0" w:color="auto"/>
        <w:left w:val="none" w:sz="0" w:space="0" w:color="auto"/>
        <w:bottom w:val="none" w:sz="0" w:space="0" w:color="auto"/>
        <w:right w:val="none" w:sz="0" w:space="0" w:color="auto"/>
      </w:divBdr>
      <w:divsChild>
        <w:div w:id="112599347">
          <w:marLeft w:val="835"/>
          <w:marRight w:val="0"/>
          <w:marTop w:val="67"/>
          <w:marBottom w:val="0"/>
          <w:divBdr>
            <w:top w:val="none" w:sz="0" w:space="0" w:color="auto"/>
            <w:left w:val="none" w:sz="0" w:space="0" w:color="auto"/>
            <w:bottom w:val="none" w:sz="0" w:space="0" w:color="auto"/>
            <w:right w:val="none" w:sz="0" w:space="0" w:color="auto"/>
          </w:divBdr>
        </w:div>
        <w:div w:id="190655280">
          <w:marLeft w:val="835"/>
          <w:marRight w:val="0"/>
          <w:marTop w:val="67"/>
          <w:marBottom w:val="0"/>
          <w:divBdr>
            <w:top w:val="none" w:sz="0" w:space="0" w:color="auto"/>
            <w:left w:val="none" w:sz="0" w:space="0" w:color="auto"/>
            <w:bottom w:val="none" w:sz="0" w:space="0" w:color="auto"/>
            <w:right w:val="none" w:sz="0" w:space="0" w:color="auto"/>
          </w:divBdr>
        </w:div>
        <w:div w:id="404644735">
          <w:marLeft w:val="274"/>
          <w:marRight w:val="0"/>
          <w:marTop w:val="82"/>
          <w:marBottom w:val="0"/>
          <w:divBdr>
            <w:top w:val="none" w:sz="0" w:space="0" w:color="auto"/>
            <w:left w:val="none" w:sz="0" w:space="0" w:color="auto"/>
            <w:bottom w:val="none" w:sz="0" w:space="0" w:color="auto"/>
            <w:right w:val="none" w:sz="0" w:space="0" w:color="auto"/>
          </w:divBdr>
        </w:div>
        <w:div w:id="659164861">
          <w:marLeft w:val="1411"/>
          <w:marRight w:val="0"/>
          <w:marTop w:val="67"/>
          <w:marBottom w:val="0"/>
          <w:divBdr>
            <w:top w:val="none" w:sz="0" w:space="0" w:color="auto"/>
            <w:left w:val="none" w:sz="0" w:space="0" w:color="auto"/>
            <w:bottom w:val="none" w:sz="0" w:space="0" w:color="auto"/>
            <w:right w:val="none" w:sz="0" w:space="0" w:color="auto"/>
          </w:divBdr>
        </w:div>
        <w:div w:id="895360004">
          <w:marLeft w:val="835"/>
          <w:marRight w:val="0"/>
          <w:marTop w:val="67"/>
          <w:marBottom w:val="0"/>
          <w:divBdr>
            <w:top w:val="none" w:sz="0" w:space="0" w:color="auto"/>
            <w:left w:val="none" w:sz="0" w:space="0" w:color="auto"/>
            <w:bottom w:val="none" w:sz="0" w:space="0" w:color="auto"/>
            <w:right w:val="none" w:sz="0" w:space="0" w:color="auto"/>
          </w:divBdr>
        </w:div>
        <w:div w:id="927664628">
          <w:marLeft w:val="835"/>
          <w:marRight w:val="0"/>
          <w:marTop w:val="67"/>
          <w:marBottom w:val="0"/>
          <w:divBdr>
            <w:top w:val="none" w:sz="0" w:space="0" w:color="auto"/>
            <w:left w:val="none" w:sz="0" w:space="0" w:color="auto"/>
            <w:bottom w:val="none" w:sz="0" w:space="0" w:color="auto"/>
            <w:right w:val="none" w:sz="0" w:space="0" w:color="auto"/>
          </w:divBdr>
        </w:div>
        <w:div w:id="1454714914">
          <w:marLeft w:val="835"/>
          <w:marRight w:val="0"/>
          <w:marTop w:val="67"/>
          <w:marBottom w:val="0"/>
          <w:divBdr>
            <w:top w:val="none" w:sz="0" w:space="0" w:color="auto"/>
            <w:left w:val="none" w:sz="0" w:space="0" w:color="auto"/>
            <w:bottom w:val="none" w:sz="0" w:space="0" w:color="auto"/>
            <w:right w:val="none" w:sz="0" w:space="0" w:color="auto"/>
          </w:divBdr>
        </w:div>
        <w:div w:id="1488789349">
          <w:marLeft w:val="835"/>
          <w:marRight w:val="0"/>
          <w:marTop w:val="67"/>
          <w:marBottom w:val="0"/>
          <w:divBdr>
            <w:top w:val="none" w:sz="0" w:space="0" w:color="auto"/>
            <w:left w:val="none" w:sz="0" w:space="0" w:color="auto"/>
            <w:bottom w:val="none" w:sz="0" w:space="0" w:color="auto"/>
            <w:right w:val="none" w:sz="0" w:space="0" w:color="auto"/>
          </w:divBdr>
        </w:div>
        <w:div w:id="1665082421">
          <w:marLeft w:val="274"/>
          <w:marRight w:val="0"/>
          <w:marTop w:val="82"/>
          <w:marBottom w:val="0"/>
          <w:divBdr>
            <w:top w:val="none" w:sz="0" w:space="0" w:color="auto"/>
            <w:left w:val="none" w:sz="0" w:space="0" w:color="auto"/>
            <w:bottom w:val="none" w:sz="0" w:space="0" w:color="auto"/>
            <w:right w:val="none" w:sz="0" w:space="0" w:color="auto"/>
          </w:divBdr>
        </w:div>
        <w:div w:id="1791587054">
          <w:marLeft w:val="274"/>
          <w:marRight w:val="0"/>
          <w:marTop w:val="82"/>
          <w:marBottom w:val="0"/>
          <w:divBdr>
            <w:top w:val="none" w:sz="0" w:space="0" w:color="auto"/>
            <w:left w:val="none" w:sz="0" w:space="0" w:color="auto"/>
            <w:bottom w:val="none" w:sz="0" w:space="0" w:color="auto"/>
            <w:right w:val="none" w:sz="0" w:space="0" w:color="auto"/>
          </w:divBdr>
        </w:div>
        <w:div w:id="1968849115">
          <w:marLeft w:val="1411"/>
          <w:marRight w:val="0"/>
          <w:marTop w:val="67"/>
          <w:marBottom w:val="0"/>
          <w:divBdr>
            <w:top w:val="none" w:sz="0" w:space="0" w:color="auto"/>
            <w:left w:val="none" w:sz="0" w:space="0" w:color="auto"/>
            <w:bottom w:val="none" w:sz="0" w:space="0" w:color="auto"/>
            <w:right w:val="none" w:sz="0" w:space="0" w:color="auto"/>
          </w:divBdr>
        </w:div>
      </w:divsChild>
    </w:div>
    <w:div w:id="1771580177">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tsg_ran/WG1_RL1//TSGR1_87/Docs/R1-1611166.zip" TargetMode="External"/><Relationship Id="rId26" Type="http://schemas.openxmlformats.org/officeDocument/2006/relationships/hyperlink" Target="ftp://www.3gpp.org/tsg_ran/WG1_RL1//TSGR1_88/Docs/R1-1703255.zip" TargetMode="External"/><Relationship Id="rId3" Type="http://schemas.openxmlformats.org/officeDocument/2006/relationships/customXml" Target="../customXml/item3.xml"/><Relationship Id="rId21" Type="http://schemas.openxmlformats.org/officeDocument/2006/relationships/hyperlink" Target="ftp://www.3gpp.org/tsg_ran/WG1_RL1//TSGR1_87/Docs/R1-161176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tsg_ran/WG1_RL1//TSGR1_87/Docs/R1-1612699.zip" TargetMode="External"/><Relationship Id="rId25" Type="http://schemas.openxmlformats.org/officeDocument/2006/relationships/hyperlink" Target="ftp://www.3gpp.org/tsg_ran/WG1_RL1//TSGR1_88/Docs/R1-1703262.zip" TargetMode="External"/><Relationship Id="rId2" Type="http://schemas.openxmlformats.org/officeDocument/2006/relationships/customXml" Target="../customXml/item2.xml"/><Relationship Id="rId16" Type="http://schemas.openxmlformats.org/officeDocument/2006/relationships/hyperlink" Target="ftp://www.3gpp.org/tsg_ran/WG1_RL1//TSGR1_87/Docs/R1-1612743.zip" TargetMode="External"/><Relationship Id="rId20" Type="http://schemas.openxmlformats.org/officeDocument/2006/relationships/hyperlink" Target="ftp://www.3gpp.org/tsg_ran/WG1_RL1//TSGR1_87/Docs/R1-161150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www.3gpp.org/tsg_ran/WG1_RL1//TSGR1_87/Docs/R1-1612931.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tp://www.3gpp.org/tsg_ran/WG1_RL1//TSGR1_87/Docs/R1-1612692.zip"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ftp://www.3gpp.org/tsg_ran/WG1_RL1//TSGR1_87/Docs/R1-1611775.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ftp://www.3gpp.org/tsg_ran/WG1_RL1//TSGR1_87/Docs/R1-1612401.zip" TargetMode="External"/><Relationship Id="rId27" Type="http://schemas.openxmlformats.org/officeDocument/2006/relationships/hyperlink" Target="http://www.3gpp.org/ftp/Specs/archive/36_series/36.213/36213-e4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5NUHHDQN7SK2-1-184398</_dlc_DocId>
    <_dlc_DocIdUrl xmlns="08b2df90-05d3-4030-90d4-c9feeb4a1cd9">
      <Url>https://ericoll.internal.ericsson.com/sites/star/_layouts/DocIdRedir.aspx?ID=5NUHHDQN7SK2-1-184398</Url>
      <Description>5NUHHDQN7SK2-1-184398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6C71-F45A-4736-817E-038261E8F04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16FCD6C-A294-4D03-8294-83CED743E0D9}">
  <ds:schemaRefs>
    <ds:schemaRef ds:uri="http://schemas.microsoft.com/sharepoint/v3/contenttype/forms"/>
  </ds:schemaRefs>
</ds:datastoreItem>
</file>

<file path=customXml/itemProps3.xml><?xml version="1.0" encoding="utf-8"?>
<ds:datastoreItem xmlns:ds="http://schemas.openxmlformats.org/officeDocument/2006/customXml" ds:itemID="{E45B034D-4293-4C4C-913F-4042CE26AD95}">
  <ds:schemaRefs>
    <ds:schemaRef ds:uri="http://schemas.microsoft.com/office/2006/metadata/longProperties"/>
  </ds:schemaRefs>
</ds:datastoreItem>
</file>

<file path=customXml/itemProps4.xml><?xml version="1.0" encoding="utf-8"?>
<ds:datastoreItem xmlns:ds="http://schemas.openxmlformats.org/officeDocument/2006/customXml" ds:itemID="{6960B6A6-6E71-4E17-AFE5-245B726CF62C}">
  <ds:schemaRefs>
    <ds:schemaRef ds:uri="Microsoft.SharePoint.Taxonomy.ContentTypeSync"/>
  </ds:schemaRefs>
</ds:datastoreItem>
</file>

<file path=customXml/itemProps5.xml><?xml version="1.0" encoding="utf-8"?>
<ds:datastoreItem xmlns:ds="http://schemas.openxmlformats.org/officeDocument/2006/customXml" ds:itemID="{4096BEA7-469B-4824-A4B0-C172C8AC0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890FB8-7E0C-4C56-9F13-14F0C24E0B68}">
  <ds:schemaRefs>
    <ds:schemaRef ds:uri="http://schemas.microsoft.com/sharepoint/events"/>
  </ds:schemaRefs>
</ds:datastoreItem>
</file>

<file path=customXml/itemProps7.xml><?xml version="1.0" encoding="utf-8"?>
<ds:datastoreItem xmlns:ds="http://schemas.openxmlformats.org/officeDocument/2006/customXml" ds:itemID="{2A6183A2-0699-46D1-97F0-7BA1E043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1084</TotalTime>
  <Pages>9</Pages>
  <Words>3832</Words>
  <Characters>20314</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24098</CharactersWithSpaces>
  <SharedDoc>false</SharedDoc>
  <HLinks>
    <vt:vector size="6" baseType="variant">
      <vt:variant>
        <vt:i4>6619217</vt:i4>
      </vt:variant>
      <vt:variant>
        <vt:i4>27</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 Sundberg</cp:lastModifiedBy>
  <cp:revision>27</cp:revision>
  <cp:lastPrinted>2017-10-26T11:48:00Z</cp:lastPrinted>
  <dcterms:created xsi:type="dcterms:W3CDTF">2017-11-06T15:41:00Z</dcterms:created>
  <dcterms:modified xsi:type="dcterms:W3CDTF">2017-11-17T14:48:00Z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10;#3GPP|6a3890dd-b3c6-4ee1-9283-043167dd414d;#9;#TDoc|b7cb4b2e-7c24-4f9d-967d-e29f765ecb8a;#8;#Ericsson|c60ff206-3dbb-4410-a86e-50fd188c386c</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5NUHHDQN7SK2-1-114314</vt:lpwstr>
  </property>
  <property fmtid="{D5CDD505-2E9C-101B-9397-08002B2CF9AE}" pid="14" name="_dlc_DocIdItemGuid">
    <vt:lpwstr>e7366d34-ae14-402d-ba4a-8b361785d187</vt:lpwstr>
  </property>
  <property fmtid="{D5CDD505-2E9C-101B-9397-08002B2CF9AE}" pid="15" name="_dlc_DocIdUrl">
    <vt:lpwstr>https://ericoll.internal.ericsson.com/sites/STAR/_layouts/DocIdRedir.aspx?ID=5NUHHDQN7SK2-1-114314, 5NUHHDQN7SK2-1-114314</vt:lpwstr>
  </property>
</Properties>
</file>